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AC.2021.0317 vom 21. Dezember 2021</w:t>
      </w:r>
    </w:p>
    <w:p>
      <w:r>
        <w:t>VD Tribunal cantonal, 2021-12-21, FR</w:t>
      </w:r>
    </w:p>
    <w:p>
      <w:r>
        <w:rPr>
          <w:b/>
        </w:rPr>
        <w:t xml:space="preserve">Quelle: </w:t>
      </w:r>
      <w:r>
        <w:t>https://mcp.opencaselaw.ch/entscheid/vd_omni_AC.2021.0317</w:t>
      </w:r>
    </w:p>
    <w:p>
      <w:r>
        <w:t>FR: VD_OMNI AC.2021.0317 du 21 décembre 2021</w:t>
      </w:r>
    </w:p>
    <w:p>
      <w:r>
        <w:t>IT: VD_OMNI AC.2021.0317 del 21 dicembre 2021</w:t>
      </w:r>
    </w:p>
    <w:p>
      <w:pPr>
        <w:pStyle w:val="Heading2"/>
      </w:pPr>
      <w:r>
        <w:t>Regeste</w:t>
      </w:r>
    </w:p>
    <w:p>
      <w:r>
        <w:t>A.________ et B.________ /Municipalité d'Yvorne, C.________, Direction générale des immeubles et du patrimoine, D.________ | Recours contre un permis de construire deux bâtiments commerciaux dans le bas de la Commune d'Yvorne, en aval de la route cantonale, dans un secteur déjà bâti correspondant à l'entrée urbanisée dans la ville d'Aigle. Les recourants, dont les parcelles se trouvent à 780 m et 500 m des bâtiments projetés et qui n'indiquent pas en quoi consisterait l'atteinte particulière dont ils auraient à souffrir en cas de réalisation du projet, n'ont pas la qualité pour agir. Le fait qu'ils verront les constructions n'est pas suffisant dès lors, d'une part, que c'est également le cas de nombreux habitants de la commune vu la localisation du projet et que, d'autre part, le projet n'impactera pas la vue dont ils bénéficient sur les vignes et les montagnes (consid. 1 b). Recours irecevables.</w:t>
      </w:r>
    </w:p>
    <w:p>
      <w:pPr>
        <w:pStyle w:val="Heading2"/>
      </w:pPr>
      <w:r>
        <w:t>Erwägungen</w:t>
      </w:r>
    </w:p>
    <w:p>
      <w:r>
        <w:rPr>
          <w:b/>
        </w:rPr>
        <w:t>E. 1</w:t>
      </w:r>
    </w:p>
    <w:p>
      <w:r>
        <w:t>La municipalité, le propriétaire et la constructrice mettent en cause la qualité pour agir des recourants. a) aa) La qualité pour recourir est définie à l'art. 75 de la loi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Le critère déterminant la qualité pour agir du voisin ne saurait ainsi se résumer à la distance séparant son fonds de celui destiné à recevoir l'installation incriminée; le Tribunal fédéral tient compte de l'ensemble des circonstances. S'il est certain ou très vraisemblable que l'installation litigieuse sera à l'origine d'immissions – bruit, poussières, vibrations, lumière, fumée – atteignant spécialement les voisins, même situés à une certaine distance, ces derniers peuvent avoir qualité pour recourir (cf. arrêts AC.2020.0294 du 3 mai 2021 consid. 1b; AC.2019.0194 du 8 janvier 2020 consid. 1b). Le voisin recourant doit alléguer des éléments de fait précis permettant de juger si la construction litigieuse est susceptible de lui causer un réel préjudice (TF 1A.105/2004, 1P.245/2004 du</w:t>
      </w:r>
    </w:p>
    <w:p>
      <w:r>
        <w:rPr>
          <w:b/>
        </w:rPr>
        <w:t>E. 3</w:t>
      </w:r>
    </w:p>
    <w:p>
      <w:r>
        <w:t>janvier 2005 consid. 3). bb) Dans un arrêt du 7 décembre 2007 (1C_260/2007), le Tribunal fédéral a examiné la qualité pour recourir de propriétaires d'un appartement sis à 300 m du projet litigieux qui, pour justifier leur qualité pour agir, alléguaient uniquement le fait qu'ils avaient une vue directe sur l'immeuble à transformer. Dès lors qu'ils ne se plaignaient pour le surplus pas d'immissions – bruits, poussières, vibrations, lumière, fumée – qui les atteindraient spécialement, le Tribunal fédéral n'a pas admis leur qualité pour recourir. Dans un arrêt du 17 janvier 2011, confirmé par le Tribunal fédéral (1C_81/2011 du 24 juin 2011), la CDAP a relevé que, même si on devait considérer que les bâtiments prévus étaient visibles depuis la parcelle des recourants, leur qualité pour agir ne pouvait pas être admise, compte tenu du fait que leur propriété était éloignée de plusieurs centaines de mètres (arrêt AC.2020.0046). Dans un autre arrêt, la CDAP a notamment examiné la situation des recourants habitant un quartier surplombant une zone industrielle dans laquelle était projetée la construction de halles et d'installations de traitement de matériaux. Elle a considéré que la zone en question comportait déjà des bâtiments industriels, de sorte que les constructions projetées me représentaient pas une atteinte au paysage. En d'autres termes, la situation des habitants du village, qui côtoyaient déjà depuis plusieurs années une zone industrielle, n'était pas modifiée par la réalisation de quelques constructions industrielles nouvelles dans cette zone (arrêt AC.2016.0045 du 29 novembre 2017 consid. 2b). Dans un arrêt du 3 janvier 2005, le Tribunal fédéral avait également constaté que la construction de villas dont les toits plats devaient être végétalisés n'impliquait pas d'atteintes pour des propriétaires sis en amont. Le Tribunal fédéral mentionnait le constat fait par le Tribunal administratif selon lequel l'immeuble des recourants était bâti sur un talus bordant la voie de chemin de fer et bénéficiait d'une vue impressionnante sur tout le lac et son pourtour alors que le terrain litigieux se trouvait en contrebas et n'occupait qu'un secteur réduit de la partie inférieure de ce panorama. Le Tribunal fédéral soulignait que la proximité ne dispensait pas le voisin d'alléguer les éléments de fait précis permettant de juger si la construction litigieuse était susceptible de lui causer un réel préjudice, exigence qui n'était pas remplie (TF 1A.105/2004 et 1P.245/2004 du 3 janvier 2005 consid. 3). b) En l'espèce, selon les chiffres non contestés fournis par le propriétaire et la constructrice, les parcelles des deux recourants se situent à 500 mètres, respectivement 783 mètres de l'endroit prévu pour l'implantation du projet litigieux. Les recourants n'indiquent pas en quoi pourrait consister l'atteinte particulière dont ils auraient à souffrir en cas de réalisation du projet. Ils se contentent de mettre en cause le non-respect du règlement communal. Ils allèguent, de manière générale, que le projet va porter atteinte au cachet du village d'Yvorne en relevant qu'il s'agit d'un magnifique village vigneron "qui fait l'admiration de tous" et est considéré comme un des plus beaux villages de Suisse. Ils invoquent ainsi l'intérêt public à protéger l'esthétique du village, sans indiquer en quoi ils sont plus atteints que les nombreux autres habitants de la commune qui verront les bâtiments projetés compte tenu de la position surplombante du village. Pour ce qui est d'une éventuelle atteinte particulière dont aurait à souffrir les recourants, on relève que s'i l ressort des photomontages figurant au dossier qu'ils verront les constructions projetées sises en contrebas, ces dernières n'affecteront pas la vue dont ils bénéficient sur les vignes et sur les montagnes en arrière-plan. L'atteinte alléguée au "village vigneron" doit au surplus être fortement relativisée dès lors que les constructions ne s'implanteront pas dans le village, mais dans un secteur en contrebas, de l'autre côté de la route cantonale par rapport au vignoble, secteur qui comprend déjà des constructions sans intérêt particulier et correspond à l'entrée urbanisée dans la ville d'Aigle. Enfin, on ne saurait considérer qu'il est certain ou très vraisemblable que l'installation litigieuse sera à l'origine d'immissions – bruit, poussières, vibrations, lumière, fumée – qui seraient susceptibles d'atteindre les recourants. Ces derniers ne le prétendent d'ailleurs pas. 2. Il ressort de ce qui précède que les recours doivent être déclarés irrecevables, pour défaut de qualité pour recourir. Les recourants qui succombent supporteront les frais de justice (art. 49 LPA-VD), qui seront réduits étant donné que seule la question de la recevabilité a été examinée par le tribunal. La municipalité, le propriétaire et la constructrice ayant procédé avec l'assistance de mandataires professionnels, il convient de leur allouer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