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AC.2021.0244 vom 5. April 2023</w:t>
      </w:r>
    </w:p>
    <w:p>
      <w:r>
        <w:t>VD Tribunal cantonal, 2023-04-05, FR</w:t>
      </w:r>
    </w:p>
    <w:p>
      <w:r>
        <w:rPr>
          <w:b/>
        </w:rPr>
        <w:t xml:space="preserve">Quelle: </w:t>
      </w:r>
      <w:r>
        <w:t>https://mcp.opencaselaw.ch/entscheid/vd_omni_AC.2021.0244</w:t>
      </w:r>
    </w:p>
    <w:p>
      <w:r>
        <w:t>FR: VD_OMNI AC.2021.0244 du 5 avril 2023</w:t>
      </w:r>
    </w:p>
    <w:p>
      <w:r>
        <w:t>IT: VD_OMNI AC.2021.0244 del 5 aprile 2023</w:t>
      </w:r>
    </w:p>
    <w:p>
      <w:pPr>
        <w:pStyle w:val="Heading2"/>
      </w:pPr>
      <w:r>
        <w:t>Regeste</w:t>
      </w:r>
    </w:p>
    <w:p>
      <w:r>
        <w:t>A.________ à L.________ /Municipalité de Lutry, M.________ et N.________, Direction générale de la mobilité et des routes DGMR | Recours des voisins opposants contre la décision autorisant la construction, après démolition de la villa existante, d'un bâtiment d'habitation. - Le CUS règlementaire n'est pas respecté. Les accès extérieurs, qui constituent objectivement les accès principaux aux logements, doivent être comptés dans la surface bâtie selon le règlement communal des constructions. - Clause d'esthétique et d'intégration des bâtiments non respectée. Le secteur immédiat est caractérisé par une structure bâtie uniforme, claire et bien conservée, marquée par des constructions à la volumétrie orthogonale et simple. Par son volume et sa forme complexe, le bâtiment projeté, qui s'étale sur toute la longueur et la largeur de la parcelle, formera un contraste saisissant avec les villas environnantes et ne laissera pratiquement plus aucune place aux espaces verts. Même en tenant compte du large pouvoir d’appréciation reconnu à la municipalité en matière d'esthétique et d'intégration des bâtiments, le tribunal considère que l'appréciation de la municipalité dans le cas particulier n'est pas soutenable au vu des circonstances locales. Admission du recours et annulation de la décision attaquée. Recours au TF rejeté dans la mesure de sa recevabilité (arrêt 1C_233/2023 du 25 avril 2024).</w:t>
      </w:r>
    </w:p>
    <w:p>
      <w:pPr>
        <w:pStyle w:val="Heading2"/>
      </w:pPr>
      <w:r>
        <w:t>Erwägungen</w:t>
      </w:r>
    </w:p>
    <w:p>
      <w:r>
        <w:rPr>
          <w:b/>
        </w:rPr>
        <w:t>E. 1</w:t>
      </w:r>
    </w:p>
    <w:p>
      <w:r>
        <w:t>Interjeté en temps utile par des propriétaires voisins s'étant opposés au projet et faisant valoir un intérêt digne de protection, le recours satisfait en outre aux conditions formelles posées par la loi vaudoise du 28 octobre 2008 sur la procédure administrative (LPA-VD; BLV 173.36) conformément aux art. 75, 79, 92, 95 et 99 de cette loi. Il y a donc lieu d'entrer en matière sur le fond.</w:t>
      </w:r>
    </w:p>
    <w:p>
      <w:r>
        <w:rPr>
          <w:b/>
        </w:rPr>
        <w:t>E. 2</w:t>
      </w:r>
    </w:p>
    <w:p>
      <w:r>
        <w:t>), ce qui donne un CUS de 0.604 (746.2:1235). Le CUS réglementaire (0.525) est donc dépassé. k) Il suit des considérants qui précèdent que les griefs des recourants à propos du non-respect du CUS sont bien fondés. L'admission de ce grief entraîne l'annulation de la décision attaquée qui lève les oppositions et octroie le permis de construire. Il n'est pas nécessaire dans ces circonstances d'examiner si d'autres surfaces contestées par les recourants (soit celles des balcons-terrasses, de l'ascenseur et des dressings) auraient également dû être incluses dans la SBPU, les constructrices devant prévoir un autre projet (cf. infra consid. 5).</w:t>
      </w:r>
    </w:p>
    <w:p>
      <w:r>
        <w:rPr>
          <w:b/>
        </w:rPr>
        <w:t>E. 3</w:t>
      </w:r>
    </w:p>
    <w:p>
      <w:r>
        <w:t>Les recourants font également valoir la violation de la clause d'esthétique (art. 86 de la loi du 4 décembre 1985 sur l'aménagement du territoire et les constructions [LATC; BLV 700.11] et 24 RCAT). La recourante Hegi relève à cet égard qu'une partie des membres de la CCU paraît désapprouver le projet et en conclut que la municipalité a outrepassé son pouvoir d'appréciation en délivrant le permis de construire litigieux. Quant aux recourants B.________ et C.________ et consorts, ils critiquent en particulier la disparition des espaces verts induite par la construction projetée.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application de l'art. 86 al. 3 LATC, l'art. 24 RCAT, disposition applicable à toutes les zones, prévoit que sont interdites toutes constructions de nature à compromettre l'aspect ou le caractère d'un site, d'une localité, d'un quartier ou d'une rue, ou à nuire à l'aspect d'un édifice de valeur historique, artistique ou pittoresque. b)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Celle-ci peut s'écarter de la solution communale si elle procède d'un excès du pouvoir d'appréciation conféré à la commune par les dispositions applicables (cf. TF 1C_360/2018 du 9 mai 2019 consid. 4.1.3). En matière d'esthétique, le principe de la proportionnalité exige que les intérêts locaux liés à l'intégration des constructions soient mis en balance avec les intérêts privés et publics à la réalisation du projet litigieux (ATF 145 I 52 consid. 3.6 et les références). Il convient en particulier de tenir compte des objectifs poursuivis par la législation fédérale au sens large sur l'aménagement du territoire (ATF 145 I 52 consid. 3.6 et les références). On relève à ce propos qu'il existe un intérêt public à densifier les centres urbains conformément à ce que prescrit désormais la loi sur l'aménagement du territoire (art. 3 al. 3 let. abis LAT; TF 1C_360/2018 précité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p. 63; arrêt TF 1C_116/2018 du 26 octobre 2018 consid. 5.3 et les références citées).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(TF 1C_349/2018 du 8 février 2019 consid. 4.2; CDAP AC.2018.0281, AC.2018.0282 du 6 mai 2019 consid. 1b). Cela étant, dans un cas particulier, l'intérêt à la bonne intégration dans l'environnement bâti, respectivement à une utilisation raisonnable des possibilités de construire réglementaires peut l'emporter sur l'intérêt à densifier les centres urbains et justifier un refus du permis de construire. Ceci a notamment été le cas dans une affaire récente concernent la commune de Lausanne (TF 1C_360/2018 du 9 mai 2019). Dans cette affaire, le Tribunal fédéral a relevé que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(consid. 4.2.3).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AC.2018.0281, AC.2018.0282 précité consid. 1b; AC.2015.0182 du 26 avril 2016 consid. 6b; AC.2013.0478 du 3 septembre 2014 consid. 1a/cc et les références). c) En l'occurrence, le bâtiment et les accès extérieurs projetés occupent la quasi-totalité de la parcelle, en violation des règles sur le CUS (cf. supra , consid. 2j/dd). On rappelle que ces règles influencent le caractère plus ou moins urbain d'un tissu bâti ( supra , consid. 2c). Si, comme le relève à juste titre la municipalité, du point de vue des habitants, l'implantation choisie paraît optimale en ce qui concerne la vue et la protection contre le bruit, en revanche, vu son volume et sa conception architecturale insolite, le projet présente un véritable problème d'intégration dans l'environnement bâti immédiat de la parcelle n° 3703. Ce secteur est en effet caractérisé par une structure bâtie uniforme, claire et bien conservée, marquée par des constructions à la volumétrie orthogonale et simple. Ainsi, les villas construites de part et d'autre du bras secondaire du chemin du ******** (qui se termine en cul-de-sac au bas de la parcelle n° 3703) suivent toutes le sens de la pente et sont coiffées de toits à tuiles à deux pans orientés est/ouest. Les parcelles accueillant ces villas sont par ailleurs pourvues de vastes jardins arborisés, tout comme la parcelle n° 3703 qui dispose actuellement d'un jardin de 1'100 m 2 . Par son volume et sa forme complexe, le bâtiment projeté, qui s'étale sur toute la longueur et la largeur de la parcelle, formera un contraste saisissant avec les villas environnantes et ne laissera pratiquement plus aucune place aux espaces verts. Au reste, l'aspect massif de la construction et son manque d'intégration ont également été relevés par plusieurs membres (dont des architectes) de la CCU. En outre, si le choix d'un bâtiment en terrasse dans un terrain en pente apparaît à première vue judicieux, le Tribunal relève que le bâtiment projeté s'implante ici artificiellement dans le terrain, compte tenu de son volume et de sa forme insolite. Sur ce point, l'appréciation de la municipalité qui estime que le bâtiment intègre parfaitement les contraintes liées à la pente ne saurait être suivie. Dans sa décision, la municipalité considère que le quartier ne reflète pas une homogénéité de style, d'architecture et de volumétrie des bâtiments qui justifierait de s'y référer ou de les imiter. Elle mentionne la présence de bâtiments «imposants» à moins de 200 m à vol d'oiseau et précise que l'ensemble du site localisé entre les lieux-dits «Signal de Bochat» (non compris) et «Clair-Joly» ne bénéficie d'aucune protection particulière. Lors de l'inspection locale, le Tribunal a effectivement constaté la présence de bâtiments plus imposants avec des toitures plates (dont une végétalisée) au sud et au sud-ouest de la parcelle n° 3703 (notamment sur la parcelle n° 3709). Ces bâtiments se trouvent toutefois dans un autre secteur délimité au nord par le chemin de **************** et au sud par les voies des CFF, qui est composé de bâtiments hétéroclites, de forme et de volume variés. Ce n'est toutefois pas le cas du secteur proche, dans lequel se trouve la parcelle n° 3703, qui est constitué de bâtiments de dimensions nettement plus modestes que le bâtiment projeté. Il n'est par conséquent pas possible de confirmer l'appréciation de la municipalité à propos de l'absence d'homogénéité de style, d'architecture et de volumétrie des bâtiments. Cette homogénéité existe bel et bien dans le secteur bâti immédiat de la parcelle n° 3703. S'il n'est pas contestable qu'il existe un intérêt public à densifier le secteur dans lequel se trouve la parcelle n° 3703 ‑ étant précisé que cette parcelle est située dans le périmètre du PALM (projet d’agglomération Lausanne-Morges), quoi qu'en bordure est de ce périmètre ‑ le projet litigieux constitue un exemple trop brutal de densification par rapport à l'environnement bâti immédiat. d) Même en tenant compte du large pouvoir d’appréciation reconnu à la municipalité en matière d'esthétique et d'intégration des bâtiments, le Tribunal considère que l'appréciation de la municipalité sur l'esthétique et l'intégration du bâtiment projeté dans le cas particulier n'est pas soutenable au vu des circonstances locales. Le recours doit par conséquent être admis pour ce motif aussi.</w:t>
      </w:r>
    </w:p>
    <w:p>
      <w:r>
        <w:rPr>
          <w:b/>
        </w:rPr>
        <w:t>E. 4</w:t>
      </w:r>
    </w:p>
    <w:p>
      <w:r>
        <w:t>Les recourants B.________ et C.________ et consorts critiquent également la place de jeu prévue au nord-ouest du bâtiment qui serait inadaptée pour les jeux d'enfants et poserait des problèmes de sécurité vu la pente du terrain à cet endroit. a) L'art. 39 al. 1 RCAT applicable aux aires de jeux a la teneur suivante: "Des aires de jeux pour enfants, d'une surface de 10 m 2 par logement, doivent être aménagées pour chaque immeuble d'habitation collective." b) En l'occurrence, les constructrices n'ont pas établi de plans des aménagements extérieurs. La place de jeux litigieuse est néanmoins mentionnée sur le plan de la toiture qui figure dans les plans d'exécution intitulés " 100_Guardenia "; elle est également représentée par une surface violette sur le plan de situation. La place de jeux est prévue à l'angle nord-ouest de la parcelle, derrière le bâtiment projeté. Elle a une surface de 55 m 2 pour un total de cinq logements, ce qui est conforme d'un point de vue strictement dimensionnel aux exigences de l'art 39 RCAT. À propos de cet espace, les architectes des constructrices ont exposé lors de l'inspection locale qu'il est prévu d'agrandir le replat existant dans l'angle nord-ouest de la parcelle et de remblayer le terrain en contrebas pour aménager un talus avec un toboggan. Ils ont ajouté que les jeux de ballons seraient vraisemblablement interdits en raison de la proximité de l'autoroute en amont. Compte tenu de son emplacement, l'aire de jeux prévue sera exposée au bruit de l'autoroute. En outre, elle sera très peu ensoleillée en raison de l'ombre créée par le bâtiment projeté. Son emplacement dans un terrain très en pente, à proximité directe (au-dessous) de l'autorité A9 pose également des problèmes de sécurité. c) Le Tribunal considère que l'emplacement choisi par les constructrices pour aménager la place de jeu est inadéquat, que ce soit du point de vue de sa topographie qui est clairement inadaptée pour les jeux des enfants qu'en raison d'un manque d'ensoleillement et d'exposition au bruit de l'autoroute. Le choix de cet emplacement est manifestement dicté par l'occupation au sol du bâtiment et des accès extérieurs projetés qui ne laissent guère d'alternative pour aménager une place de jeux à un autre endroit mieux adapté. Les griefs des recourants sont également bien fondés sur ce point.</w:t>
      </w:r>
    </w:p>
    <w:p>
      <w:r>
        <w:rPr>
          <w:b/>
        </w:rPr>
        <w:t>E. 5</w:t>
      </w:r>
    </w:p>
    <w:p>
      <w:r>
        <w:t>Les considérants qui précèdent conduisent à l’admission du recours et à l’annulation de la décision attaquée. Dans la mesure où le projet litigieux ne respecte pas les règles sur le CUS et sur l'esthétique et l'intégration des bâtiments et que la place de jeux est inadéquate, il incombera aux constructrices de prévoir un autre projet. Il ne se justifie pas dans ces conditions d'examiner les autres griefs soulevés par les recourants à propos de la hauteur du bâtiment, de l'accès, du non-respect de l'ordonnance fédérale sur les routes nationales et du caractère incomplet des plans mis à l'enquête. Les constructrices, qui ont conclu au rejet du recours et qui succombent, devront supporter les frais de la procédure (art. 49 LPA-VD; art. 4 al. 1 du tarif du 28 avril 2015 des frais judiciaires et des dépens en matière administrative [TFJDA; BLV 173.36.5.1]) . Elles n'ont pas droit à des dépens mais devront en verser en faveur des recourants B.________ et C.________ et consorts , qui ont agi avec le concours d'un avocat, ainsi qu'en faveur de la recourante A.________, représentée par un mandataire professionnel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