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AC.2021.0166 vom 7. Februar 2023</w:t>
      </w:r>
    </w:p>
    <w:p>
      <w:r>
        <w:t>VD Tribunal cantonal, 2023-02-07, FR</w:t>
      </w:r>
    </w:p>
    <w:p>
      <w:r>
        <w:rPr>
          <w:b/>
        </w:rPr>
        <w:t xml:space="preserve">Quelle: </w:t>
      </w:r>
      <w:r>
        <w:t>https://mcp.opencaselaw.ch/entscheid/vd_omni_AC.2021.0166</w:t>
      </w:r>
    </w:p>
    <w:p>
      <w:r>
        <w:t>FR: VD_OMNI AC.2021.0166 du 7 février 2023</w:t>
      </w:r>
    </w:p>
    <w:p>
      <w:r>
        <w:t>IT: VD_OMNI AC.2021.0166 del 7 febbraio 2023</w:t>
      </w:r>
    </w:p>
    <w:p>
      <w:pPr>
        <w:pStyle w:val="Heading2"/>
      </w:pPr>
      <w:r>
        <w:t>Regeste</w:t>
      </w:r>
    </w:p>
    <w:p>
      <w:r>
        <w:t>A.________, B.________/Municipalité de Mies | Demande de récusation de l'ensemble des membres d'une municipalité (en lien avec une procédure de mise en conformité d'une villa), au motif que la municipalité ferait preuve d'une attitude partisane en défaveur des recourants. Rappel de la jurisprudence selon laquelle la CDAP est compétente pour traiter le grief de récusation de membres d'une municipalité dans le cadre d'un recours contre une décision relevant de sa compétence au fond. En l'occurrence, la CDAP étant compétente pour statuer sur le recours dirigé contre l'ordre de mise en conformité de la villa concernée, elle l'est également pour statuer sur la demande incidente de récusation (consid. 1). Dans le cas particulier, deux municipaux se sont eux-mêmes récusés, de sorte que la demande est sans objet en ce qui les concerne. S'agissant des trois municipaux restants, les recourants n'avancent pas le moindre motif de nature à faire naître un doute sur leur impartialité ou indépendance (consid. 3). Recours rejeté. Recours au TF rejeté par arrêt du 7 février 2023 (1C_537/2022).</w:t>
      </w:r>
    </w:p>
    <w:p>
      <w:pPr>
        <w:pStyle w:val="Heading2"/>
      </w:pPr>
      <w:r>
        <w:t>Erwägungen</w:t>
      </w:r>
    </w:p>
    <w:p>
      <w:r>
        <w:rPr>
          <w:b/>
        </w:rPr>
        <w:t>E. 1</w:t>
      </w:r>
    </w:p>
    <w:p>
      <w:r>
        <w:t>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Conformément à l'art. 74 al. 3 LPA-VD, applicable par renvoi de l'art. 99 LPA-VD à la procédure devant le Tribunal cantonal, les décisions incidentes statuant sur des demandes de récusation sont séparément susceptibles de recours. Selon la jurisprudence de la CDAP, celle-ci est compétente pour traiter le grief de la récusation de membres d'une municipalité dans le cadre d'un recours contre une décision relevant de sa compétence au fond (AC.2016.0045 du 11 avril 2017 consid. 2 et les références). b) En l'espèce, la demande de récusation de la municipalité est liée à la cause AC.2021.0198 pendante devant la CDAP, portant sur la mise en conformité (sous l'angle du droit des constructions) du bâtiment sis sur la parcelle n° 105. La CDAP étant compétente pour statuer sur le recours au fond (dirigé contre l'ordre de mise en conformité), elle l'est par conséquent également pour statuer sur la demande incidente de récusation de la municipalité. Les autres conditions formelles de recevabilité étant par ailleurs satisfaites (art. 75, 79, 95 et 99 LPA-VD), il y a lieu d'entrer en matière sur le recours.</w:t>
      </w:r>
    </w:p>
    <w:p>
      <w:r>
        <w:rPr>
          <w:b/>
        </w:rPr>
        <w:t>E. 2</w:t>
      </w:r>
    </w:p>
    <w:p>
      <w:r>
        <w:t>A titre de mesures d'instruction, les parties ont requis l'audition des cinq membres de la municipalité.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PE.2018.0208 du 29 mai 2019 consid. 3a). b) En l'espèce, les éléments au dossier permettent au tribunal de se faire une idée complète et précise des faits pertinents. Dès lors, par appréciation anticipée des preuves, le tribunal s'estime en mesure de statuer en toute connaissance de cause et renoncera en conséquence à ordonner les auditions sollicitées, sans qu'il n'en résulte une violation du droit d'être entendu des parties.</w:t>
      </w:r>
    </w:p>
    <w:p>
      <w:r>
        <w:rPr>
          <w:b/>
        </w:rPr>
        <w:t>E. 3</w:t>
      </w:r>
    </w:p>
    <w:p>
      <w:r>
        <w:t>Il est fait mention de la récusation au procès-verbal et sur l'extrait de décision.</w:t>
      </w:r>
    </w:p>
    <w:p>
      <w:r>
        <w:rPr>
          <w:b/>
        </w:rPr>
        <w:t>E. 4</w:t>
      </w:r>
    </w:p>
    <w:p>
      <w:r>
        <w:t>Il résulte des considérants qui précèdent que le recours est mal fondé et doit en conséquence être rejeté. Les recourants, qui succombent, doivent supporter les frais de justice (art. 49 LPA-VD). La municipalité, qui a procédé par l'intermédiaire d'un mandataire professionnel, a droit à des dépens à la charge des recourants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