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AC.2021.0109 vom 9. November 2021</w:t>
      </w:r>
    </w:p>
    <w:p>
      <w:r>
        <w:t>VD Tribunal cantonal, 2021-11-09, FR</w:t>
      </w:r>
    </w:p>
    <w:p>
      <w:r>
        <w:rPr>
          <w:b/>
        </w:rPr>
        <w:t xml:space="preserve">Quelle: </w:t>
      </w:r>
      <w:r>
        <w:t>https://mcp.opencaselaw.ch/entscheid/vd_omni_AC.2021.0109</w:t>
      </w:r>
    </w:p>
    <w:p>
      <w:r>
        <w:t>FR: VD_OMNI AC.2021.0109 du 9 novembre 2021</w:t>
      </w:r>
    </w:p>
    <w:p>
      <w:r>
        <w:t>IT: VD_OMNI AC.2021.0109 del 9 novembre 2021</w:t>
      </w:r>
    </w:p>
    <w:p>
      <w:pPr>
        <w:pStyle w:val="Heading2"/>
      </w:pPr>
      <w:r>
        <w:t>Regeste</w:t>
      </w:r>
    </w:p>
    <w:p>
      <w:r>
        <w:t>Commune de Chexbres/Département des institutions et du territoire | Recours c/ décision du département cantonal approuvant la zone réservée cantonale sur des parcelles, propriété de la commune recourante. Il n'est pas contesté que les zones à bâtir de la commune, hors centre, sont surdimensionnées. Le périmètre litigieux pourrait objectivement être concerné par le remaniement de la zone à bâtir. Le projet de mutualisation des réserves de la commune avec celles d'une commune voisine, qui permettrait selon elle de résorber entièrement le surdimensionnement hors centre, reste hypothétique et ne permet pas de considérer qu'un déclassement en zone viticole du périmètre de la zone réservée serait d'emblée exclu. Rejet du recours.</w:t>
      </w:r>
    </w:p>
    <w:p>
      <w:pPr>
        <w:pStyle w:val="Heading2"/>
      </w:pPr>
      <w:r>
        <w:t>Erwägungen</w:t>
      </w:r>
    </w:p>
    <w:p>
      <w:r>
        <w:rPr>
          <w:b/>
        </w:rPr>
        <w:t>E. 1</w:t>
      </w:r>
    </w:p>
    <w:p>
      <w:r>
        <w:t>Le recours est dirigé contre une décision du département cantonal en charge de l'aménagement du territoire portant sur l'approbation d'un plan de zone réservée (art. 46 LATC),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et 96 al. 1 let. a LPA-VD) et il respecte les exigences légales de motivation (art. 76 et 79 LPA-VD, par renvoi de l'art. 99 LPA-VD). Il y a donc lieu d'entrer en matière.</w:t>
      </w:r>
    </w:p>
    <w:p>
      <w:r>
        <w:rPr>
          <w:b/>
        </w:rPr>
        <w:t>E. 2</w:t>
      </w:r>
    </w:p>
    <w:p>
      <w:r>
        <w:t>, si l'on tient compte de la partie supérieure des actuelles parcelles n os 558 et 559), directement voisine d'autres vignes, à l'est. On peut donc se référer à des données géographiques objectives pour instituer une zone réservée à cet endroit, dans la continuité des vignes protégées en vertu du plan de protection de Lavaux. Le fait que la municipalité avait, en 2016, délivré un permis de construire pour un projet à réaliser sur l'ancienne parcelle n° 559, sensiblement plus important que le projet mis à l'enquête publique en mai 2020 par d'autres promettant-acquéreurs, n'est pas déterminant. Il ressort du dossier que le projet de 2016 avait été abandonné par le constructeur avant la date de péremption du permis de construire et qu'il n'était plus actuel au moment où le département cantonal a annoncé son intention de créer une zone réservée. Le département cantonal n'avait pas, dans cette première procédure de permis de construire, donné d'assurances quant au maintien du terrain dans la zone à bâtir. Il faut encore relever que dans son arrêt AC.2017.0003 du 14 décembre 2017, la CDAP a considéré que les règles du droit fédéral de l'aménagement du territoire n'imposaient pas un refus des permis de construire tant que le redimensionnement de la zone à bâtir n'était pas réalisé; il incombait à la municipalité d'apprécier la situation pour déterminer si l'application de l'art. 77 aLATC (actuellement: art. 47 LATC, effet négatif anticipé d'un plan en voie d'élaboration) s'imposait. Le refus d'imposer des mesures conservatoires à ce stade a été jugé conforme au droit fédéral (cf. consid. 2 de l'arrêt précité). A l'époque, le département cantonal n'était pas intervenu. Or les circonstances se sont sensiblement modifiées depuis l'approbation par le Conseil fédéral, le 31 janvier 2018, de la mesure A11 du PDCn, ce qui entraîne clairement, pour les communes présentant une zone à bâtir surdimensionnée (au regard des critères de cette mesure A11), de soumettre au canton un plan d'affectation révisé avant la fin du premier semestre 2022. Dans la situation actuelle, l'application d'une mesure conservatoire, au demeurant limitée à une petite portion de la zone à bâtir, n'est en soi pas critiquable. e) La commune recourante manifeste sa volonté de maintenir les parcelles n os 558, 559 et 1712 dans la zone à bâtir, d ans le cadre du futur plan d'affectation communal en cours d'élaboration. Elle affirme que le périmètre de la zone réservée fait partie de son territoire urbanisé. Ce territoire a été délimité sur une carte du rapport de pré-étude. Or la DGTL a préconisé la réduction du territoire urbanisé à l'est de la zone à bâtir communale, les parcelles n os 558, 559 et 1712, ainsi que plusieurs autres parcelles situées dans ce secteur étant exclues de ce territoire (modification représentée par un trait bleu sur la carte du territoire urbanisé en p. 15 du rapport de pré-étude). Quoi qu'il en soit, la définition du territoire urbanisé dans les phases préliminaires de la révision du plan d'affectation communal (cf. art. 36 LATC), avant l'élaboration du projet soumis à l'examen préalable de la DGTL en vertu de l'art. 37 LATC, n'est pas décisive. En d'autres termes, ce n'est pas sur la base de cette seule donnée que l'on peut juger du caractère admissible d'une mesures conservatoire. Le territoire urbanisé doit en principe comprendre les territoires formant le cœur d'une localité (voir la fiche d'application de la DGTL à ce sujet; cf. aussi arrêt AC.2020.0109 du 1 er avril 2021, let. G); on peut en effet se demander si le terrain litigieux en fait partie. C'est précisément parce que ces aspects doivent encore être examinés par les autorités cantonale et communale que le maintien du terrain dans la zone à bâtir ne s'impose pas d'emblée et qu'une zone réservée peut se révéler nécessaire. En définitive, si l'on tient compte des objectifs de redimensionnement, selon la mesure A11 du PDCn, du territoire hors centre de la Communes de Chexbres, il faut considérer que le périmètre litigieux pourrait objectivement être concerné par le remaniement de la zone à bâtir et que les conditions de l'art. 27 LAT sont en principe remplies (cf. TF 1C_218/2020 du 23 juillet 2021 consid. 3.6). f) La commune recourante invoque cependant le projet de mutualisation de ses réserves avec celles de la Commune de Puidoux, qui permettrait selon elle de résorber entièrement le surdimensionnement hors centre de Chexbres. Le SDT a accepté en février 2017 le principe pour les Communes de Chexbres et de Puidoux, qui partagent un centre régional bipolaire, de mutualiser leurs réserves en zones d'habitation et mixtes pour autant que la révision des plans généraux d'affectation des deux communes soit menée en parallèle et qu'ils soient mis à l'enquête publique et approuvés par le département simultanément. Cette mutualisation est compatible avec la mesure A11 du PDCn. En d'autres termes, le surdimensionnement de la zone à bâtir hors centre de Chexbres pourrait être corrigé moyennant la renonciation de la Commune de Puidoux à une extension de ses propres zones à bâtir hors centre, dans la mesure où elles sont sous-dimensionnées. Cette opération requiert, dans le système mis en place par la mesure A11 du PDCn, une analyse précise des réserves dans les deux communes ainsi qu'une appréciation soigneuse par la DGTL des données fournies par leurs municipalités et urbanistes respectifs. La décision attaquée retient que la Commune de Chexbres a pris des mesures en mettant en place une démarche de mutualisation des réserves avec la Commune de Puidoux mais, en l'état des travaux de planification, "rien ne permet de dire que cette stratégie aboutira et que la DGTL, qui a validé le principe de la mutualisation des réserves, sera en mesure de préaviser favorablement toutes les propositions communales qui seront faites dans ce cadre" (p. 6). Dans ses déterminations sur le recours, la DGTL relève qu'aucune des deux communes ne lui a encore remis un projet de plan pour examen préalable (cf. art. 37 LATC); on ne peut pas retenir qu'un plan excluant tout dézonage à Chexbres pourra être validé puis mis à l'enquête publique. Il appartient aux deux communes de poursuivre le travail, soit en constituant les documents en vue de séances de coordination proposées par la DGTL, soit en présentant directement un dossier d'examen préalable. Le projet de mutualisation des réserves consiste en l'état en un calcul purement mathématique et théorique; les simulations du calcul mathématique du dimensionnement ne sont pas encore traduites en mesures concrètes d'aménagement (dézonage, modifications des indices de densité, etc.). Il ressort en effet du dossier que dans le cadre de l'examen préliminaire des rapports de pré-étude des deux communes, la DGTL a estimé que les dossiers devaient être complétés et adaptés sur plusieurs thématiques, en particulier à propos de l'estimation des réserves sur le territoire de Puidoux (dans un avis préliminaire du 6 avril 2021 concernant la révision du plan d'affectation communal de Puidoux, la DGTL indique que l'établissement du "bilan de base", selon un calcul automatique, révélerait un surdimensionnement des zones à bâtir actuelles de cette commune, aussi bien hors centre que dans le centre; le sous-dimensionnement allégué par la commune résulterait de l'application d'anciens règlements présentant de faibles indices d'utilisation du sol, de sorte qu'il serait nécessaire de procéder à une étude de densification). On peut comprendre la position de la commune recourante, selon laquelle il serait opportun que la DGTL examine le plus rapidement possible ce qu'implique concrètement la mesure A11, du point de vue de l'autorité cantonale, pour le dimensionnement des zones à bâtir hors centre de Puidoux et de Chexbres, vu le projet de mutualisation des réserves. Cela étant, cette situation d'incertitude est précisément de nature à justifier une mesure conservatoire cantonale telle que la zone réservée litigieuse, cette mesure pouvant être levée s'il apparaît ultérieurement – par exemple en fonction de projets de plans établis en vue de l'examen préalable – que le redimensionnement de la zone à bâtir hors centre de Chexbres ne s'impose pas en vertu de la mesure A11 du PDCn, appliquée en prenant en considération les territoires de Puidoux et de Chexbres. En définitive, la question de la mutualisation des réserves n'a pas à être examinée plus avant dans le présent arrêt et, en particulier, l'instruction ne doit pas être complétée sur ce point. Cet élément, qui reste hypothétique, ne permet pas de considérer qu'un déclassement en zone viticole du périmètre de la zone réservée serait d'emblée exclu. Cette mesure conservatoire demeure appropriée.</w:t>
      </w:r>
    </w:p>
    <w:p>
      <w:r>
        <w:rPr>
          <w:b/>
        </w:rPr>
        <w:t>E. 3</w:t>
      </w:r>
    </w:p>
    <w:p>
      <w:r>
        <w:t>Il résulte du considérant précédent que le département cantonal n'a pas violé le droit de l'aménagement du territoire en instituant une zone réservée cantonale sur les parcelles litigieuses. Le recours, mal fondé, doit par conséquent être rejeté, ce qui entraîne la confirmation de la décision attaquée. La commune recourante, qui conteste la mesure cantonale notamment en tant que propriétaire du terrain concerné (dans son patrimoine financier) et qui succombe, doit supporter les frais de justice (art. 49 LPA-VD). Il n'y a pas lieu d'allouer des dépens à l'autorité intimée qui a procédé sans l'assistance d'un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