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AC.2021.0103 vom 23. August 2022</w:t>
      </w:r>
    </w:p>
    <w:p>
      <w:r>
        <w:t>VD Tribunal cantonal, 2022-08-23, FR</w:t>
      </w:r>
    </w:p>
    <w:p>
      <w:r>
        <w:rPr>
          <w:b/>
        </w:rPr>
        <w:t xml:space="preserve">Quelle: </w:t>
      </w:r>
      <w:r>
        <w:t>https://mcp.opencaselaw.ch/entscheid/vd_omni_AC.2021.0103</w:t>
      </w:r>
    </w:p>
    <w:p>
      <w:r>
        <w:t>FR: VD_OMNI AC.2021.0103 du 23 août 2022</w:t>
      </w:r>
    </w:p>
    <w:p>
      <w:r>
        <w:t>IT: VD_OMNI AC.2021.0103 del 23 agosto 2022</w:t>
      </w:r>
    </w:p>
    <w:p>
      <w:pPr>
        <w:pStyle w:val="Heading2"/>
      </w:pPr>
      <w:r>
        <w:t>Regeste</w:t>
      </w:r>
    </w:p>
    <w:p>
      <w:r>
        <w:t>A._________, B.________, C.________, D.________/Municipalité de Montreux | Permis de construire une piscine refusé par la municipalité au motif que la visibilité au sortir du chemin reliant la parcelle à la route cantonale serait insuffisante. Modification du projet par le constructeur à la suite d'une inspection locale au cours de laquelle des solutions ont été envisagées. Maintien du refus de la commune. Recours admis et décision réformée en ce sens que le permis doit être délivré: les plans et autres documents versés au dossier par les recourants, compte tenu des constats faits sur place, permettent de cerner la nature exacte du projet et de se déterminer sur sa conformité aux règles de police des constructions. Les modifications apportées ne justifient pas une mise à l'enquête complémentaire. Le vice formel invoqué par l'autorité intimée ne saurait faire obstacle en l'espèce à la délivrance du permis sollicité.</w:t>
      </w:r>
    </w:p>
    <w:p>
      <w:pPr>
        <w:pStyle w:val="Heading2"/>
      </w:pPr>
      <w:r>
        <w:t>Erwägungen</w:t>
      </w:r>
    </w:p>
    <w:p>
      <w:r>
        <w:rPr>
          <w:b/>
        </w:rPr>
        <w:t>E. 1</w:t>
      </w:r>
    </w:p>
    <w:p>
      <w:r>
        <w:t>Le recours a été déposé en temps utile auprès de la juridiction compétente et respecte les exigences légales de motivation (art. 79, 92, 95 et 99 de la loi du 28 octobre 2008 sur la procédure administrative [LPA-VD; BLV 173.36]). En outre, les recourants, destinataires de la décision attaquée et copropriétaires de la PPE "Résidence Bosquets-de-Julie 14" sise sur la parcelle n° 6373 concernée par le projet de construction litigieux, ont manifestement qualité pour recourir (art. 75 LPA-VD). Il convient dès lors d'entrer en matière sur le fond.</w:t>
      </w:r>
    </w:p>
    <w:p>
      <w:r>
        <w:rPr>
          <w:b/>
        </w:rPr>
        <w:t>E. 2</w:t>
      </w:r>
    </w:p>
    <w:p>
      <w:r>
        <w:t>Est litigieuse la question de savoir si le refus de délivrer le permis de construire sollicité est bien fondé. a) Dans la décision attaquée, l'autorité intimée a invoqué, comme motif de refus, l'aggravation d'une situation déjà non conforme à la norme VSS 40 273a. A la suite des pourparlers intervenus entre les parties et de la modification subséquente du projet de construction, l'autorité intimée invoque, à l'appui de son refus de réformer la décision litigieuse, l'absence au dossier d'un plan de situation et d'un questionnaire général mis à jour. b) aa) Aux termes de l'art. 39 LRou, des aménagements extérieurs tels que mur, clôture, haie ou plantation de nature à nuire à la sécurité du trafic, notamment par une diminution de la visibilité, ne peuvent être créés sans autorisation sur les fonds riverains de la route. L'art. 8 RLRou précise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(al. 2) de 60 centimètres lorsque la visibilité doit être maintenue (a), de 2 mètres dans les autres cas (b). Conformément à l'art. 9 RLRou, les haies ne seront pas plantées à moins d'un mètre de la limite du domaine public (al. 1). Les haies existantes lors de l'entrée en vigueur du présent règlement peuvent être maintenues, mais taillées selon les prescriptions de l'art.  8. Les branches ne doivent pas empiéter sur le domaine public (al. 2). bb) La jurisprudence a précisé que les normes VSS, en elles-mêmes non contraignantes, peuvent être prises en considération comme un avis d’expert, étant rappelé qu'elles doivent être appliquées en fonction des circonstances concrètes et en accord avec les principes généraux du droit, dont celui de la proportionnalité (arrêts TF 1C_481/2018 du 20 mai 2020 consid. 7.1; 1C_532/2012 du 25 avril 2013 consid. 3.1; CDAP AC.2019.0284 du 7 octobre 2020 consid. 6b/bb). La norme VSS 40 273a, relative aux conditions de visibilité dans les carrefours à niveau, est applicable à toutes les routes avec carrefours à niveau, ainsi qu'aux carrefours desservant les accès riverains, comme c'est le cas en l'espèce (let. A, "Généralités", p. 3). Selon cette norme, la distance de visibilité recommandée varie en fonction de la vitesse d'approche. Pour une vitesse d'approche de 50 km/h (correspondant à la limitation de vitesse sur l'avenue des Bosquets-de-Julie), la norme prescrit une distance de visibilité de 50 à 70 m, tant vers la droite que vers la gauche (tableau 1, p. 8). En localité, une distance d'observation de 3,0 m est généralement recommandée pour les véhicules automobiles et les deux-roues légers; cette distance ne devrait pas être inférieure à 2,50 m (let. D, ch. 11, "Distances d'observation", p. 7). La norme précise que le champ de vision doit être libre de tout obstacle de nature à masquer un véhicule automobile ou un deux-roues léger. Normalement, il suffit que le champ de vision soit libre de tout obstacle sur une hauteur comprise entre 0,60 m et 3,0 m mesurée au-dessus du niveau de la chaussée (let. C, ch. 10, "Exigences relatives au champ de vision", p. 6). c) aa) L’art. 104 al. 1 de la loi du 4 décembre 1985 sur l'aménagement du territoire et les constructions (LATC; BLV 700.11) dispose qu’avant de délivrer le permis, la municipalité doit s’assurer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d'application de la LATC, du 19 septembre 1986 (RLATC; BLV 700.11.1). Le principe général est que la demande de permis doit être accompagnée de toutes les indications nécessaires pour rendre compte de l'importance et de la nature des travaux projetés (art. 69 al. 2 RLATC; CDAP AC.2021.0041 du 14 avril 2022 consid. 3a/aa).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exigés un plan de situation extrait du plan cadastral comportant l'indication du projet de construction, selon les cotes tirées du plan établi par l'architecte (art. 69 al. 1 ch. 1 let. e RLATC), les coupes nécessaires à la compréhension du projet comprenant les profils du terrain naturel et aménagé, tout comme le questionnaire général dûment complété (art. 69 al. 1 ch. 3 et 6 RLATC).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Il en va ainsi en particulier des plans de coupe. Une éventuelle lacune du dossier n’est pas déterminante lorsque la consultation des autres pièces a permis de la combler ou que le vice a été réparé en cours de procédure (CDAP AC.2021.0202 du 4 mars 2022 consid. 2a et les références citées).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tel est le cas lorsqu'elles portent sur des questions de détails ou secondaires. En particulier, lorsqu'elles vont dans le sens des griefs des opposants, de telles modifications ne nécessitent pas une mise à l'enquête complémentaire. En pareille hypothèse toutefois, le dossier devrait comprendre un descriptif clair des changements autorisés par le permis de construire. Les modifications plus importantes, mais qui ne changent pas sensiblement le projet, peuvent être soumises à une enquête complémentaire au sens de l’art. 72b RLATC. Les modifications qui dépassent le cadre de l'art. 72b RLATC doivent faire l’objet d’une nouvelle enquête publique principale selon l’art. 109 LATC (CDAP AC.2021.0041 précité consid. 3a/bb et les références citées). d) A titre préalable, on rappelle que le projet initial, tel que mis à l'enquête publique, portait sur la construction d'une piscine (décrite comme hors sol) et entourée d'un deck, la construction d'un mur surmonté d'une barrière opaque (bordant les côtés sud et est de l'installation) et sur l'abattage de la haie existante dans la partie concernée de la parcelle. Comme on l'a vu, l'autorité intimée a refusé de délivrer l'autorisation sollicitée, au motif que le projet n'était, à son sens, pas conforme aux art. 39 LRou et 8 RLRou, ainsi qu'à la norme VSS 40 273a. De l'avis de l'autorité intimée, le projet aggravait une situation déjà non conforme, sous l'angle de la visibilité au sortir du chemin d'accès (desservant notamment la parcelle n° 6373) sur l'avenue des Bosquets-de-Julie. La haie existante, plantée à moins de 1,00 m de la limite du domaine public, mesurant environ 1,80 m de haut et obstruant la vue du côté ouest (sur l'avenue des Bosquets-de-Julie), bénéficiait toutefois de la situation acquise. L'inspection locale, organisée dans le cadre de la présente procédure, a permis, d'une part, de mieux comprendre le projet litigieux et l'environnement dans lequel il devait s'inscrire et, d'autre part, d'envisager des variantes sur la base des constatations effectuées par le tribunal, notamment relatives à la topographie de la parcelle n° 6373. En outre, les recourants ont pu apporter des explications concernant l'installation projetée et l'origine des différences de niveaux observées dans le jardin. Par ailleurs, l'inspection locale a permis de relever que les plans au dossier n'étaient pas tout à fait exacts et complets, notamment s'agissant des cotes. Enfin, au terme de l'audience, les parties se sont mises d'accord sur une variante du projet impliquant de renoncer, à la fois, à la construction du mur projeté (surmonté d'une barrière opaque) et à la suppression de la haie, et de remplacer la haie existante et défraîchie par une nouvelle haie, de même hauteur. Les représentants de l'autorité intimée ont précisé, à cet égard, que le remplacement d'une haie par une autre devait être considéré comme de l'entretien et était, partant, admissible au regard des différentes normes précitées. A la suite de l'audience, comme convenu, les recourants ont produit des plans modifiés (datés du 2 décembre 2021), reflétant la solution retenue. L'autorité intimée a toutefois estimé que ceux-ci étaient incomplets au niveau des cotes et a relevé qu'ils n'étaient pas signés par leur auteur et les propriétaires. L'autorité a en outre fait valoir qu'un plan de situation établi par un géomètre, ainsi qu'un questionnaire général, tous deux reflétant le projet modifié, devaient également être joints au dossier. Les recourants ont alors produit un nouveau lot de plans datés du 11 janvier 2022, complétés au niveau des cotes et signés par leur auteur, ainsi que par les copropriétaires. En dépit de ces nouveaux plans, l'autorité intimée a maintenu son refus de délivrer le permis de construire sollicité (respectivement de réformer la décision attaquée), au motif qu'il manquait toujours au dossier un plan de situation, ainsi qu'un questionnaire général, adaptés au projet modifié. e) aa) Sur la base des considérations qui précèdent et des éléments au dossier, on observe que les plans du 11 janvier 2022 correspondent à la variante du projet évoquée en audience qui, de l'appréciation de l'autorité intimée, est admissible au regard des normes applicables. On relève au demeurant que cette variante ne change rien, sous l'angle de la visibilité au sortir du chemin d'accès sur l'avenue des Bosquets-de-Julie, à la situation existante. Il apparaît ainsi que le motif de refus initialement retenu par l'autorité intimée - qu'elle n'invoque d'ailleurs plus - ne saurait faire obstacle à l'octroi du permis sollicité. On précise que l'autorité intimée ne soulève aucun autre motif - de fond - de nature à faire obstacle à la délivrance du permis de construire sollicité. bb) Pour ce qui est du motif de refus lié aux exigences de forme de la demande - désormais invoqué par l'autorité intimée -, il n'est pas contesté que les recourants n'ont pas déposé de plans de situation ni de questionnaire général mis à jour (selon la variante retenue). Il convient dès lors d'examiner si l'absence au dossier de ces deux documents empêche de se faire une idée claire et précise des travaux envisagés et de leur conformité aux règles de police des constructions. En l'occurrence, on relève que l'inspection locale a permis de constater que le niveau du jardin est plus élevé que le niveau de la route (d'environ 1,20 à 1,50 m), sauf dans l'extrémité de l'angle sud-est du jardin, où doit être installée la piscine projetée et où sur quelques mètres carrés seulement, le niveau du terrain correspond approximativement au niveau de la route. A cet égard, le recourant A.________ a exposé que son père avait en son temps procédé à des remblais dans le jardin afin de disposer d'un jardin plat, ce qui explique la différence de niveaux entre le jardin et la route. Au regard de ces éléments et des plans modifiés du 11 janvier 2022 (comportant les cotes utiles), il apparaît que la piscine projetée ne s'apparente, en réalité, ni entièrement à une piscine enterrée, ni entièrement à une piscine hors sol, en raison de la différence de niveaux existante dans la partie sud-est du jardin. On comprend que la piscine se rapproche toutefois - visuellement – d'une piscine enterrée et que le deck qui entoure la piscine prend place, pour ainsi dire, au même niveau que le jardin et fera office de remblai pour soutenir la piscine et combler le dénivelé sur les côtés sud et est de celle-ci, où le terrain naturel est plus bas. On saisit également qu'une nouvelle haie, de même hauteur que la haie existante et implantée au même endroit, bordera la partie concernée du jardin et l'ouvrage projeté. On constate ainsi que l'absence de plan de situation et de questionnaire général mis à jour n'empêche pas de cerner la nature exacte du projet modifié et de se déterminer sur sa conformité aux règles de police des constructions, vu les autres pièces au dossier et les constatations réalisées lors de l'inspection locale. On précise d'ailleurs que, de l'avis des assesseurs spécialisés (géomètre et architecte), un plan de situation mis à jour et établi par un géomètre ne permettrait pas, dans le cas particulier, une meilleure compréhension du projet litigieux. Partant, le vice formel invoqué par l'autorité intimée ne saurait faire obstacle à la délivrance du permis de construire sollicité. Dans ces circonstances, ledit permis doit être délivré sur la base des pièces au dossier et en particulier des plans du 11 janvier 2022. On relève au demeurant, à l'instar de l'autorité intimée, que les modifications apportées au projet ne justifient pas une enquête publique complémentaire; les modifications en cause ressortent en effet clairement du dossier, doivent être considérées comme de minime importance et vont dans le sens des griefs de l'autorité intimée, étant rappelé que le projet n'avait suscité aucune opposition de tiers au moment de l'enquête publique.</w:t>
      </w:r>
    </w:p>
    <w:p>
      <w:r>
        <w:rPr>
          <w:b/>
        </w:rPr>
        <w:t>E. 3</w:t>
      </w:r>
    </w:p>
    <w:p>
      <w:r>
        <w:t>Il résulte des considérants qui précèdent que le recours doit être admis et la décision attaquée réformée en ce sens que le permis de construire est délivré, le dossier étant renvoyé à l'autorité intimée à cet effet. Vu l'issue du litige, il est renoncé à la perception d'un émolument judiciaire. Les parties, qui n'ont pas procédé par l'intermédiaire de mandataires professionnels, n'ont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