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AC.2020.0351 vom 10. März 2022</w:t>
      </w:r>
    </w:p>
    <w:p>
      <w:r>
        <w:t>VD Tribunal cantonal, 2022-03-10, FR</w:t>
      </w:r>
    </w:p>
    <w:p>
      <w:r>
        <w:rPr>
          <w:b/>
        </w:rPr>
        <w:t xml:space="preserve">Quelle: </w:t>
      </w:r>
      <w:r>
        <w:t>https://mcp.opencaselaw.ch/entscheid/vd_omni_AC.2020.0351</w:t>
      </w:r>
    </w:p>
    <w:p>
      <w:r>
        <w:t>FR: VD_OMNI AC.2020.0351 du 10 mars 2022</w:t>
      </w:r>
    </w:p>
    <w:p>
      <w:r>
        <w:t>IT: VD_OMNI AC.2020.0351 del 10 marzo 2022</w:t>
      </w:r>
    </w:p>
    <w:p>
      <w:pPr>
        <w:pStyle w:val="Heading2"/>
      </w:pPr>
      <w:r>
        <w:t>Regeste</w:t>
      </w:r>
    </w:p>
    <w:p>
      <w:r>
        <w:t>A.________/Municipalité de Syens, Direction générale du territoire et du logement, Direction générale de la mobilité et des routes DGMR,B.________ à BB.________ | Recours contre le refus par la Municipalité de Syens d'autoriser la construction d'un hangar agricole en bordure de village, pour des motifs d'intégration dans le paysage. Le besoin d'un tel bâtiment pour l'exploitation du recourant est reconnu par la DGAV, et la DGTL a posé des conditions en lien avec la volumétrie et les matériaux utilisés. Après pesée des intérêts et examen de solutions d'implantation alternatives, il apparaît que le refus de la Municipalité, limité à des motifs esthétiques, a pour conséquence d'entraver l'exercice d'une activité agricole non seulement légitime dans la zone affectée à cet effet mais aussi conforme aux exigences de l'aménagement du territoire, dont celle de regroupement des constructions agricoles. Recours admis. Recours au TF rejetés (1C_228/2022 et 1C_229/2022 du 22 février 2023).</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En ce qui concerne l'objet du litige, la décision attaquée refuse la construction tant d'un hangar agricole que d'une place de lavage. Le refus de cette seconde construction se fonde sur le refus de la DGMR de délivrer son autorisation spéciale à cet égard. Dès lors que le recourant ne conteste pas la décision sur ce point, ce refus n'est pas litigieux. Le recours porte ainsi uniquement sur le refus d'autoriser un hangar agricole sur la parcelle n° 126.</w:t>
      </w:r>
    </w:p>
    <w:p>
      <w:r>
        <w:rPr>
          <w:b/>
        </w:rPr>
        <w:t>E. 3</w:t>
      </w:r>
    </w:p>
    <w:p>
      <w:r>
        <w:t>A l'appui de son recours, le recourant explique comprendre que l'implantation du hangar litigieux près du village puisse paraître problématique au regard de la clause d'esthétique, mais fait valoir se trouver dans une impasse dès lors que la DGTL lui aurait refusé la construction de ce hangar sur ses parcelles agricoles n° 85 ou 95 situées de l'autre côté de la route cantonale. Or la nécessité de ce hangar de stockage est avérée. Il relève que la question de l'intégration dans le paysage a été dûment examinée par la DGTL dans la synthèse CAMAC et reproche à la Municipalité d'avoir posé des critères supplémentaires. Le litige porte ainsi sur le point de savoir si, en refusant le permis de construire le hangar litigieux pour des motifs liés à l'esthétique et à l'intégration dans le paysage , l'autorité intimée a excédé ou abusé de sa marge d'appréciation. En d'autres termes, il s'agit de savoir si la commune, en appliquant l'art. 86 de la loi vaudoise du 4 décembre 1985 sur l'aménagement du territoire et les constructions [LATC; BLV 700.11], et le droit communal y relatif, a procédé à une appréciation soutenable des circonstances pertinentes, tout en permettant la mise en œuvre du droit fédéral, spécifiquement des art. 16a de la loi fédérale sur l'aménagement du territoire du 22 juin 1979 [LAT; RS 700] et 34 de l'ordonnance fédérale du 28 juin 2000 sur l'aménagement du territoire (OAT; RS 700.1).</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6.1 RPGA définit la clause d'esthétique, comme suit: "La Municipalité prend toutes les mesures pour sauvegarder la qualité du paysage et des sites et éviter les nuisances. Les bâtiments et les installations qui, par leur destination, leurs formes ou leurs proportions, sont de nature à compromettre l'harmonie des lieux ou l'homogénéité d'un quartier ou d'une rue sont interdits. Il en est de même pour les réalisations dont l'exploitation pourrait avoir un effet négatif sur l'environnement." b) Selon la jurisprudence,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tel sera par exemple le cas s’il s’agit de protéger un site, un bâtiment ou un ensemble de bâtiments présentant des qualités esthétiques remarquables, qui font défaut à l’immeuble projeté ou que mettrait en péril sa construction.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(AC.2017.0133 du 22 janvier 2018 consid. 3a et les références citées). c)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 les objectifs de l'ISOS selon l'ordonnance fédérale sur l'Inventaire fédéral des sites construits à protéger du 9 septembre 1981 (OISOS; RS 451.12),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(AC.2017.0133 précité, consid. 3c et les références citées). Cette répartition des compétences découle directement de la disposition constitutionnelle relative à la protection de la nature et du patrimoine (art. 78 Cst.) (cf. TF 1A.142/2004 du 10 décembre 2004, in RDAF 2006 629). d)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En droit cantonal vaudois, les communes jouissent d'une autonomie maintes fois reconnue lorsqu'elles définissent, par des plans, l'affectation de leur territoire, et lorsqu'elles appliquent le droit des constructions (art. 139 al. 1 let. d Cst./VD; cf. TF 1C_80/2015 précité, consid. 2.1 et les références citées). Le Tribunal s’impose une certaine retenue dans l’examen de la question de l’esthétique, en ce sens qu’il ne substitue pas son propre pouvoir d’appréciation à celui de l’autorité municipale, mais se borne à ne sanctionner que l’abus ou l’excès du pouvoir d’appréciation.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AC.2020.0282 du</w:t>
      </w:r>
    </w:p>
    <w:p>
      <w:r>
        <w:rPr>
          <w:b/>
        </w:rPr>
        <w:t>E. 9</w:t>
      </w:r>
    </w:p>
    <w:p>
      <w:r>
        <w:t>S'agissant enfin de l'abri-tunnel existant sur la parcelle n° 126, la décision attaquée indique que la Municipalité n'a pas statué à ce sujet. Dans la synthèse CAMAC précitée, la DGTL indique en revanche que la démolition de cette construction est impérative en cas de construction du hangar litigieux. Il convient donc de renvoyer le dossier à la Municipalité pour qu'elle précise également cette exigence dans le permis de construire à délivrer.</w:t>
      </w:r>
    </w:p>
    <w:p>
      <w:r>
        <w:rPr>
          <w:b/>
        </w:rPr>
        <w:t>E. 10</w:t>
      </w:r>
    </w:p>
    <w:p>
      <w:r>
        <w:t>Il résulte des considérants qui précèdent que le recours doit être admis et la décision attaquée réformée, en ce sens que le refus d'autoriser le hangar litigieux est annulé, le dossier étant renvoyé à la Municipalité pour délivrer le permis de construire dans le sens des considérants. La décision attaquée sera confirmée pour le surplus.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notamment AC.2020.0263 du 18 novembre 2021 consid. 10 et les références citées). Ainsi, dans le cas d'espèce, les frais de justice seront mis à la charge des opposants, qui succombent. Le recourant n'ayant pas procédé avec l'assistance d'un mandataire professionnel, il n'a pas droit à des dépens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