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AC.2020.0346 vom 17. März 2021</w:t>
      </w:r>
    </w:p>
    <w:p>
      <w:r>
        <w:t>VD Tribunal cantonal, 2021-03-17, FR</w:t>
      </w:r>
    </w:p>
    <w:p>
      <w:r>
        <w:rPr>
          <w:b/>
        </w:rPr>
        <w:t xml:space="preserve">Quelle: </w:t>
      </w:r>
      <w:r>
        <w:t>https://mcp.opencaselaw.ch/entscheid/vd_omni_AC.2020.0346</w:t>
      </w:r>
    </w:p>
    <w:p>
      <w:r>
        <w:t>FR: VD_OMNI AC.2020.0346 du 17 mars 2021</w:t>
      </w:r>
    </w:p>
    <w:p>
      <w:r>
        <w:t>IT: VD_OMNI AC.2020.0346 del 17 marzo 2021</w:t>
      </w:r>
    </w:p>
    <w:p>
      <w:pPr>
        <w:pStyle w:val="Heading2"/>
      </w:pPr>
      <w:r>
        <w:t>Regeste</w:t>
      </w:r>
    </w:p>
    <w:p>
      <w:r>
        <w:t>A.________, B.________/Municipalité de Grandcour, Direction générale des immeubles et du patrimoine | Admission du recours contre des conditions posées dans un permis de construire (remplacement des tuiles installées par d'autres tuiles, de l'OSB en sous-toiture par des lambris, ainsi que des fenêtre en PVC par des fenêtre en bois), faute de motivation suffisante (aucune explication n'est donnée au sujet de la justification de ces exigences ni de leur proportionnalité). Renvoi de la cause à l'autorité intimée, à charge pour elle de transmettre à nouveau le dossier à la DGIP .</w:t>
      </w:r>
    </w:p>
    <w:p>
      <w:pPr>
        <w:pStyle w:val="Heading2"/>
      </w:pPr>
      <w:r>
        <w:t>Erwägungen</w:t>
      </w:r>
    </w:p>
    <w:p>
      <w:r>
        <w:rPr>
          <w:b/>
        </w:rPr>
        <w:t>E. 1</w:t>
      </w:r>
    </w:p>
    <w:p>
      <w:r>
        <w:t>Le recours est dirigé contre certaines clauses d'un permis de construire, imposant aux propriétaires d'un bâtiment des mesures de remise en état. La décision attaquée peut faire l'objet d'un recours de droit administratif au sens des art. 92 ss de la loi du 28 octobre 2008 sur la procédure administrative (LPA-VD; BLV 173.36). Les propriétaires concernés ont manifestement qualité pour recourir (art. 75 let. a LPA-VD, par renvoi de l'art. 99 LPA-VD). Un acte de recours a été déposé auprès de la municipalité, dans le délai de 30 jours de l'art. 95 LPA-VD; il aurait pu être transmis d'office par cette autorité au Tribunal cantonal (cf. art. 7 al. 1 LPA-VD) mais quoi qu'il en soit, ce recours lui est parvenu après que les recourants ont envoyé directement un acte complémentaire. Il y a lieu d'entrer en matière.</w:t>
      </w:r>
    </w:p>
    <w:p>
      <w:r>
        <w:rPr>
          <w:b/>
        </w:rPr>
        <w:t>E. 2</w:t>
      </w:r>
    </w:p>
    <w:p>
      <w:r>
        <w:t>Les recourants se plaignent de certaines exigences fixées dans le permis de construire, qu'ils qualifient d'excessives ou de disproportionnées. La décision attaquée est, formellement, un permis de construire au sens des art. 103 ss de la loi du 4 décembre 1985 sur l'aménagement du territoire et les constructions (LATC; BLV 700.11). Cette autorisation a été requise, à l'invitation des autorités, pour mettre en conformité ou régulariser des travaux effectués sans autorisation lors de la transformation de la ferme. La municipalité a décidé de régulariser une grande partie de ces travaux. La contestation porte sur les travaux non régularisés, pour lesquels le permis de construire impose des conditions.</w:t>
      </w:r>
    </w:p>
    <w:p>
      <w:r>
        <w:rPr>
          <w:b/>
        </w:rPr>
        <w:t>E. 3</w:t>
      </w:r>
    </w:p>
    <w:p>
      <w:r>
        <w:t>La première condition porte sur le "remplacement de la tuile mise en place par une petite tuile, de couleur rouge naturel, conforme à l'existant avant le renouvellement de la couverture". a) Sur les plans du 20 mai 2020 de l'architecte E._______, il est indiqué, à propos de la couverture du toit: "tuiles non conformes", "propriétaires proposent la validation par la DGIP + commune". Un document annexé à ces plans précise à ce sujet, à la suite de photographies de la façade sud-est et de la toiture, avec des nouvelles tuiles sur la moitié d'un pan: "On voit la petite tuile plate dont la teinte n'est pas conforme mais que les propriétaires estiment en harmonie avec le bâtiment. La remarque concernant le décalage des couvertures tombera dès lors que les propriétaires pourront terminer la rénovation de la toiture". Ce document contient encore une vue aérienne du bâtiment transformé, avec les explications suivantes: "On voit la partie du toit rénovée. Cette image montre que la teinte des tuiles utilisées s'harmonise dans le contexte de ces bâtiments anciens. Le traitement des tuiles posées empêche également la formation de mousses, qui prolifèrent sur les façades Nord et nécessitent de fréquents et coûteux nettoyages". b) La décision de la municipalité ne contient aucune prise de position au sujet de la couleur des tuiles posées. Au ch. 3.10 des "conditions particulières communales", elle indique que lorsque les travaux incluent la réfection de toitures, un exemplaire de la tuile choisie doit être soumis à l'AISTBV (Association Intercommunale Service Technique Broye Vaudoise) pour décision de la municipalité, et qu'en cas de réalisation sans accord préalable de cette autorité, "les couleurs ou types de toiture contrevenant au RPGA en vigueur seront obligatoirement changés, aux frais du maître de l'ouvrage". Cette clause, qui figure sans doute dans tous les permis de construire délivrés par la municipalité, n'est cependant pas directement pertinente en l'espèce puisque les tuiles ont déjà été posées, la municipalité n'ayant pas besoin de voir un échantillon pour se prononcer. La clause précitée du permis de construire fait référence au RPGA. En effet, ce règlement (règlement communal sur le plan d'affectation et la police des constructions, entré en vigueur le 27 mars 1996) prévoit ce qui suit, à l'art. 29, à propos des "matériaux de toitures": " A l'exception des toits plats, la couverture des toitures, y compris celle des lucarnes, doit être réalisée, en principe, en tuiles terre cuite ou en ardoises, dont la couleur correspondra à celle des toitures traditionnelles du village. D'autres types de matériaux, favorisant une solution architecturale satisfaisante peuvent être autorisés par la Municipalité " . La couverture de la toiture litigieuse a été réalisée en tuiles de terre cuite. Le règlement ne précise pas quelle est la couleur des toitures traditionnelles du village. La décision attaquée n'indique pas si l'art. 29 al. 1 RPGA est respecté ou non, ni si la forme des tuiles posées est conforme au règlement communal. c) En réalité, l'exigence formulée dans le permis de construire a été reprise de l'autorisation spéciale de la DGIP, sans autre motivation. Comme le bâtiment des recourants a été inscrit à l'inventaire des monuments historiques institué par la loi du 10 décembre 1969 sur la protection de la nature, des monuments et des sites (LPNMS; BLV 450.11), les travaux de transformation – le projet initial et le projet de mise en conformité – requièrent une autorisation de la DGIP; si la DGIP n'entend pas autoriser les travaux annoncés, elle doit ouvrir une enquête en vue de classement (cf. art. 17 LPNMS par renvoi de l'art. 51 LPNMS). Dans le cas particulier, la DGIP a clairement indiqué qu'elle n'avait pas l'intention de classer la ferme comme monument historique, parce que cette mesure serait disproportionnée, et que, par conséquent, elle autorisait en principe les travaux. Cette autorité cantonale a indiqué dans sa réponse qu'elle n'avait "pas d'autre choix que de délivrer l'autorisation spéciale" mais que, "pour signifier dans la limite du droit sa position à la municipalité, elle a usé de l'expédient de la recommandation à l'attention du maître d'ouvrage et de la municipalité". En conséquence, selon ces explications, la municipalité aurait la possibilité, en exerçant son pouvoir d'appréciation et en appliquant les prescriptions qui la chargent de veiller à la préservation ou à la bonne intégration des bâtiments, de concrétiser ou non cette recommandation dans une clause impérative du permis de construire. d) Lorsque le droit cantonal prévoit, en plus du permis de construire, une autorisation spéciale d'un département cantonal (cf. art. 120 al. 1 let. d LATC), cette autorisation est communiquée à la municipalité qui doit la notifier au propriétaire concerné (cf. art. 123 al. 3 LATC – cette communication s'effectue par la synthèse CAMAC). En l'occurrence, la formulation de l'autorisation de la DGIP est équivoque: elle expose, avant l'énumération des éléments litigieux, que "certains points pourraient être améliorés", en employant le conditionnel; puis elle indique formuler des "recommandations" et non pas des exigences. Plus bas en revanche, elle évoque une autorisation spéciale conditionnelle ("sous réserve de la stricte observation des conditions ci-dessus"). Ainsi, la décision de la DGIP emploie à la fois le terme de "recommandations", qui ne seraient pas impératives, et celui de "conditions", imposées aux propriétaires. Dans le permis de construire, la municipalité n'a pas indiqué clairement si elle  faisait de ces recommandations de l'autorité cantonale des conditions stricto sensu du permis de construire, imposées cette fois par l'autorité communale; elle a reproduit  le texte de la synthèse CAMAC sans se prononcer plus en détail sur la couverture de la toiture. e) L'art. 105 al. 1 LATC dispose que la municipalité, à son défaut le département, est en droit de faire suspendre et, le cas échéant, supprimer ou modifier, aux frais du propriétaire, tous travaux qui ne sont pas conformes aux prescriptions légales et réglementaires.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Le prononcé d'un ordre de démolition ou de remise en état présuppose donc une analyse de la légalité des ouvrages concernés, même s'ils ont été réalisés sans autorisation (cf. arrêts AC.2020.0189 du 1 février 2021 consid. 2a; AC.2020.0016 du 28 octobre 2020 consid. 2a; AC.2019.0336 du 19 octobre 2020 consid. 4). Ensuite, la proportionnalité des mesures imposées doit être vérifiée. f) Il n'est pas évident d'apprécier la situation sur la base du dossier. Le remplacement des tuiles d'une toiture est souvent une opération onéreuse et la jurisprudence a eu plusieurs fois l'occasion de considérer qu'un ordre de remise en état, après la pose de tuiles non conformes, violait le principe de la proportionnalité (cf. notamment arrêts AC.2018.0405 du 25 octobre 2019; AC.2017.0450 du 16 juillet 2018; AC.2009.0187 du 23 mars 2010). Quoi qu'il en soit, le permis de construire et l'autorisation spéciale de la DGIP ne sont pas suffisamment motivés sur cet aspect.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w:t>
      </w:r>
    </w:p>
    <w:p>
      <w:r>
        <w:rPr>
          <w:b/>
        </w:rPr>
        <w:t>E. 3.1</w:t>
      </w:r>
    </w:p>
    <w:p>
      <w:r>
        <w:t>et les références).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LATC, en cas de refus du permis de construire: l'art. 115 al. 1 LATC prescrit à la municipalité de communiquer ce refus au requérant " avec référence aux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puisse donner connaissance de ses motifs dans le mémoire de réponse, ce qui permettra ensuite à l'administré de compléter ses moyens (ATF 135 I 279 consid. 2.6.1). g) En l'espèce, la motivation figurant dans le permis de construire est clairement insuffisante. Il en va de même de l'autorisation spéciale de la DGIP. Il n'est pas expliqué pourquoi la toiture de la ferme, munie à l'origine de quatre sortes différentes de tuiles (d'après les recourants), serait actuellement problématique. Les recourants indiquent avoir posé de la petite tuile plate engobée rouge; il semble que la finition avec engobe soit critiquée, parce qu'une terre cuite rouge naturel aurait été préférable. Mais on ne trouve aucune explication sur les différences de couleur ou de patine, ni sur les critères pertinents. On peut relever qu'on trouve sur le site internet de la DGIP la référence d'une publication sur les "Tuiles anciennes du Pays de Vaud" (de Denis Weidmann et Charles Matile, de la Section monuments historiques www.vd.ch/fileadmin/user_upload/themes/culture/patrimoine_bati/fichiers_pdf/Tuiles_anciennes_du_Pays_de_Vaud.pdf ); il paraît donc possible, pour les spécialistes de l'administration cantonale, d'évaluer de façon motivée l'intégration d'une toiture sur la base de données objectives. Quoi qu'il en soit, la simple mention, dans la synthèse CAMAC, de la "couverture avec une tuile non intégrée au village" n'est pas une motivation suffisante. Les explications données dans les réponses au recours ne sont pas plus explicites. Dans ces circonstances, l'autorité de recours n'a pas à compléter elle-même l'instruction, en demandant aux autorités intimées de fournir a posteriori des explications complètes au sujet de la toiture du bâtiment litigieux (dans son état actuel, dans son état précédent et dans l'état futur après une autre étape de rénovation), et en recueillant les renseignements nécessaires au sujet du coût d'un remplacement des tuiles déjà posées. Il incombe aux autorités administratives de se prononcer en première instance sur ces questions, après avoir procédé aux opérations d'instruction nécessaires. La décision attaquée étant insuffisamment motivée sur ce point, elle doit être annulée pour violation des garanties formelles de l'art. 29 al. 2 Cst. et de l'art. 42 let. c LPA-VD. h) A propos de la motivation exigée dans le cas particulier, il convient de relever que comme ces autorités administratives – la municipalité et la DGIP – doivent  déterminer quelles mesures de remise en état peuvent être ordonnées, il importe que tous les éléments pertinents découlant de la jurisprudence relative à l'art. 105 LATC (cf. supra, consid. 3e) puissent être pris en considération. Cela étant, les recourants ont placé les autorités devant le fait accompli alors qu'ils devaient savoir, en étant propriétaires d'un bâtiment inscrit à l'inventaire, que le changement de couverture de la toiture était une opération importante, ne pouvant pas être en quelque sorte improvisée, c'est-à-dire réalisée sans consultation préalable de la DGIP par l'architecte ou la direction des travaux. En d'autres termes, le propriétaire d'un tel bâtiment doit faire preuve d'une diligence particulière, pour éviter les atteintes. Ces circonstances doivent elles aussi être établies et exposées dans la décision de remise en état, car elles sont pertinentes pour apprécier la proportionnalité.</w:t>
      </w:r>
    </w:p>
    <w:p>
      <w:r>
        <w:rPr>
          <w:b/>
        </w:rPr>
        <w:t>E. 4</w:t>
      </w:r>
    </w:p>
    <w:p>
      <w:r>
        <w:t>Les recourants critiquent l'exigence relative à la suppression de l'OSB (panneaux constitués de copeaux de bois) en sous-toiture et au remplacement de ces panneaux par des lambris bruts. Sur ce point également, ni le permis de construire ni l'autorisation spéciale de la DGIP ne contiennent une motivation suffisante. On ne voit pas à quelles prescriptions en matière de sécurité ou de salubrité des constructions cet aménagement contreviendrait. Du point de vue de la protection des monuments historiques, la DGIP n'explique pas les raisons de cette recommandation ou de cette condition. Elle évoque des problèmes d'étanchéité qui, d'après les recourants, ne sont pas actuels étant donné qu'une bâche synthétique de sous-couverture a été posée. Dans sa réponse, cette autorité mentionne la conservation de la charpente, sans autre précision. Pour les raisons déjà exposées au considérant précédent, la décision attaquée, insuffisamment motivée sur ce point, doit être annulée pour violation des garanties formelles de l'art. 29 al. 2 Cst. et de l'art. 42 let. c LPA-VD.</w:t>
      </w:r>
    </w:p>
    <w:p>
      <w:r>
        <w:rPr>
          <w:b/>
        </w:rPr>
        <w:t>E. 5</w:t>
      </w:r>
    </w:p>
    <w:p>
      <w:r>
        <w:t>Les recourants contestent l'obligation de remplacer les fenêtres en PVC par des fenêtres en bois. Les plans annexés à la demande de permis de construire de 2020 figurent, sur trois façades ainsi que sur un pan de toit, des ouvertures qui n'avaient pas été autorisées dans le permis de construire du 24 mars 2014 (2 fenêtres de 60/80 sur la façade Nord-Est; 2 fenêtres de 137/60 sur la façade Nord-Ouest; 4 fenêtres/baies et 2 velux sur la façade Sud-Est). La création de ces nouvelles ouvertures a été régularisée dans le permis de construire du 2 novembre 2020; la contestation porte encore sur le matériau, les fenêtres en PVC devant être remplacées par des fenêtres en bois. La décision attaquée n'est pas claire, s'agissant des fenêtres visées. On ne sait pas si les autorités veulent le remplacement de toutes les fenêtres par des fenêtres  en bois, ou seulement de celles créées sans autorisation en 2014. Les recourants affirment avoir posé, en 2014, des fenêtres en "PVC décor bois"; si l'objectif est d'"assurer la cohérence des matériaux", comme cela est indiqué dans la décision attaquée, on ne voit pas pourquoi les fenêtres autorisées a posteriori en 2020 ne pourraient pas également être en "PVC décor bois". Il n'est pas non plus expliqué pourquoi la "problématique des teintes" ne pourrait pas être "rectifiée" en conservant le même matériau (PVC), les recourants ayant du reste d'emblée précisé que les fenêtres en PVC blanc seraient peintes de la teinte des autres baies (voir le document explicatif de l'architecte). Les raisons historiques ou architecturales de préférer un matériau à un autre, pour les ouvertures d'un ancien rural – donc des ouvertures qui n'existaient pas lorsque le bâtiment avait la fonction de ferme du château – ne sont pas davantage expliquées. Même dans une décision de régularisation d'ouvrages réalisés sans autorisation, il est nécessaire que les travaux de mise en conformité exigés soient décrits précisément. Quand il s'agit de remplacer un élément de construction admissible par un autre, identique dans sa structure et ses dimensions mais réalisé dans un autre matériau, il est indispensable que cette exigence soit justifiée de manière convaincante et que sa proportionnalité (au regard du coût du remplacement) soit démontrée par l'autorité. Dans le cas particulier, on ne trouve aucune explication précise dans la décision attaquée. Sur ce point également, elle est insuffisamment motivée et elle doit être annulée pour violation des garanties formelles de l'art. 29 al. 2 Cst. et de l'art. 42 let. c LPA-VD. On relève toutefois qu'en créant sans autorisation, et sans consultation préalable des spécialistes de la protection des monuments historiques, des ouvertures sur les façades d'un bâtiment inscrit à l'inventaire, les recourants ont pris le risque de devoir supporter des travaux coûteux de remise en état.</w:t>
      </w:r>
    </w:p>
    <w:p>
      <w:r>
        <w:rPr>
          <w:b/>
        </w:rPr>
        <w:t>E. 6</w:t>
      </w:r>
    </w:p>
    <w:p>
      <w:r>
        <w:t>Les recourants ne contestent pas la décision attaquée en tant qu'elle exige la "remise en état des détails de l'avant-toit aux endroits où on voit actuellement dépasser l'OSB". Selon eux, il s'agit d'une finition déjà programmée, qui pourra être réalisée dans le courant de l'année 2021.</w:t>
      </w:r>
    </w:p>
    <w:p>
      <w:r>
        <w:rPr>
          <w:b/>
        </w:rPr>
        <w:t>E. 7</w:t>
      </w:r>
    </w:p>
    <w:p>
      <w:r>
        <w:t>Dans leurs griefs, les recourants ont critiqué les exigences de la décision attaquée pour des motifs non pas formels (le droit à une décision motivée), mais matériels (le respect du principe de la proportionnalité). Il incombe toutefois au tribunal, qui applique d'office le droit fédéral et cantonal, de sanctionner la violation d'une garantie formelle quand, à cause de cette irrégularité, le dossier ne permet pas un jugement au fond. En l'occurrence, vu ce qui a été exposé aux considérants précédents, il y a donc lieu d'annuler la décision attaquée, dans la mesure où elle est contestée, et de renvoyer la cause à la municipalité pour nouvelle décision, avec une motivation correspondant aux exigences du droit d'être entendu (cf. art. 90 al. 2 LPA-VD). Dès lors que les exigences litigieuses, à propos de la toiture et des fenêtres, sont liées aux caractéristiques historiques du bâtiment et à son inscription à l'inventaire des monuments, il incombera à la municipalité de transmettre une fois encore le dossier à la DGIP, afin que la Section monuments historiques précise les motifs pour lesquels elle énonce des recommandations ou le cas échéant des conditions formelles. Une inspection locale en présence des autorités administratives compétentes et des propriétaires (cf. art. 29 al. 1 let. b LPA-VD) pourrait aider à l'établissement des faits pertinents, le procès-verbal (cf. art. 29 al. 4 LPA-VD) pouvant alors décrire les caractéristiques essentielles des éléments de construction devant encore être mis en conformité. Une décision constatant de façon exacte et complète les faits pertinents pourrait alors être efficacement soumise à un contrôle judiciaire (cf. art. 76 let. b LPA-VD).</w:t>
      </w:r>
    </w:p>
    <w:p>
      <w:r>
        <w:rPr>
          <w:b/>
        </w:rPr>
        <w:t>E. 8</w:t>
      </w:r>
    </w:p>
    <w:p>
      <w:r>
        <w:t>Vu l'issue de la cause, il se justifie de statuer sans frais (cf. art. 49 LPA-VD). Les recourants, qui ne sont pas assistés par un avocat,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