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AC.2020.0327 vom 2. Juni 2021</w:t>
      </w:r>
    </w:p>
    <w:p>
      <w:r>
        <w:t>VD Tribunal cantonal, 2021-06-02, FR</w:t>
      </w:r>
    </w:p>
    <w:p>
      <w:r>
        <w:rPr>
          <w:b/>
        </w:rPr>
        <w:t xml:space="preserve">Quelle: </w:t>
      </w:r>
      <w:r>
        <w:t>https://mcp.opencaselaw.ch/entscheid/vd_omni_AC.2020.0327</w:t>
      </w:r>
    </w:p>
    <w:p>
      <w:r>
        <w:t>FR: VD_OMNI AC.2020.0327 du 2 juin 2021</w:t>
      </w:r>
    </w:p>
    <w:p>
      <w:r>
        <w:t>IT: VD_OMNI AC.2020.0327 del 2 giugno 2021</w:t>
      </w:r>
    </w:p>
    <w:p>
      <w:pPr>
        <w:pStyle w:val="Heading2"/>
      </w:pPr>
      <w:r>
        <w:t>Regeste</w:t>
      </w:r>
    </w:p>
    <w:p>
      <w:r>
        <w:t>A.________, B.________ /Municipalité de Cuarny | Recours contre deux décisions rendues par la municipalité. La première concerne le refus d'un permis de construire portant notamment sur l'isolation du bâtiment propriété des recourants, ainsi que sur des travaux intérieurs, au motif qu'un plan en coupe est manquant. Pas de violation du droit d'être entendu des recourants, ceux-ci connaissant la nature du plan manquant qui est mentionnée dans l'opposition d'une voisine et dans un courrier subséquent. La motivation de la décision, bien que sommaire, est suffisante, le document officiel mentionné étant manifestement le plan en coupe manquant, ceci d'autant que l'autorité intimée se réfère à un risque d'empiètement sur la parcelle voisine (consid. 2). La requête du plan en coupe litigieux était légitime dans la mesure où les documents produits dans le dossier d'enquête font état d'une isolation du bâtiment par l'extérieur et donc impliquent un risque d'empiètement sur la parcelle voisine (consid. 3). La seconde décision rendue porte sur un refus de permis d'habiter. Sa motivation est lacunaire, la décision ne précisant pas les éventuels dangers pour d'éventuels locataires et occupants. Les constats évoqués dans la décision ne paraîssent pas justifier une interdiction d'habiter. En outre, il n'est pas établi que les recourants ont été interpellés avant que la décision ne soit rendue et leur droit d'être entendu a été violé. En outre l'autorité intimée n'a pas respecté les conditions fixées par l'art. 93 al. 2 LATC. Cette seconde décision doit donc être annulée. Recours partiellement admis dans le sens que la décision relative au permis d'habiter est annulée mais que la décision relative au permis de construire est confirmée.</w:t>
      </w:r>
    </w:p>
    <w:p>
      <w:pPr>
        <w:pStyle w:val="Heading2"/>
      </w:pPr>
      <w:r>
        <w:t>Erwägungen</w:t>
      </w:r>
    </w:p>
    <w:p>
      <w:r>
        <w:rPr>
          <w:b/>
        </w:rPr>
        <w:t>E. 1</w:t>
      </w:r>
    </w:p>
    <w:p>
      <w:r>
        <w:t>Les recourants, propriétaires de la parcelle n° 539, qui ont participé à la procédure devant l'autorité inférieure, sont directement touchés par les décisions dont est recours et ont manifestement un intérêt digne de protection à pouvoir les contester (cf. art. 75 et 99 de la loi du 28 octobre 2008 sur la procédure administrative [LPA-VD; BLV 173.36]). Le recours remplissant au demeurant les autres conditions de forme (art. 79, 95 et 99 LPA-VD), il se justifie d'entrer en matière.</w:t>
      </w:r>
    </w:p>
    <w:p>
      <w:r>
        <w:rPr>
          <w:b/>
        </w:rPr>
        <w:t>E. 2</w:t>
      </w:r>
    </w:p>
    <w:p>
      <w:r>
        <w:t>Les recourants concluent tout d'abord à l'annulation de la décision prise par l'autorité intimée le 8 octobre 2020, soit le refus de délivrer le permis de construire CAMAC n° 185239. Ils fondent leur conclusion sur le fait que l'autorité intimée motive sa décision par l'absence de production par leurs soins d'un plan, dont on ne leur aurait jamais précisé la nature. Ils invoquent une violation du principe de l'interdiction du formalisme excessif et le fait qu'aucune base légale ne serait mentionnée dans la décision. Au vu des motifs invoqués, il convient donc d'examiner si le droit d'être entendu des recourants a été violé. L'autorité intimée se réfère quant à elle aux demandes orales de sa part et à l'opposition formulée par le conseil de C.________ qui auraient précisé de quel document dite autorité avait besoin pour pouvoir statuer. a) Le droit d'être entendu, tel qu'il est garanti par l'art. 29 al. 2 de la Constitution fédérale du 18 avril 1999 de la Confédération suisse (Cst.; RS 101),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TF 2C_501/2020 du 15 mars 2021 consid. 5.1). Les garanties minimales en matière de droit d'être entendu découlant de cette disposition ne comprennent en principe pas le droit d'être entendu oralement (ATF 140 I 68 consid. 9.6.1 et les références; TF 2C_737/2020 du 23 novembre 2020 consid. 2.3, 2C_460/2020 du 29 septembre 2020 consid. 4.2). En droit vaudois, l'art. 33 LPA-VD prévoit dans ce cadre qu'hormis lorsqu'il y a péril en la demeure, les parties ont le droit d'être entendues avant toute décision les concernant (al. 1); sauf disposition expresse contraire, elles ne peuvent prétendre être auditionnées par l'autorité (al. 2; cf. ég. art. 27 al. 1 LPA-VD, dont il résulte que la procédure est en principe écrite). Aux termes de l'art. 34 LPA-VD, les parties participent à l'administration des preuves (al. 1) et peuvent notamment présenter des offres de preuve (al. 2 let. d). Les modalités de consultation du dossier et les restrictions applicables à ce propos sont prévues par les art. 35 et 36 LPA-VD. b)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et les références). La motivation peut en outre être implicite et résulter des différents considérants de la décision (ATF 141 V 557 consid. 3.2.1; TF 1C_361/2020 du 18 janvier 2021 consid. 3.1; CDAP PE.2020.0210 du 24 mars 2021 consid. 1a). En droit vaudois et comme déjà évoqué (consid. 1a), l'art. 42 LPA-VD prévoit dans ce cadre que la décision doit notamment contenir les faits, les règles juridiques et les motifs sur lesquels elle s'appuie (let. c). c) aa) Les recourants se plaignent que l'autorité intimée ne leur a jamais indiqué la nature du plan complémentaire qui devait être produit. On comprend dès lors qu'ils se prévalent du fait qu'ils n'auraient jamais pu déterminer le document requis par l'autorité et dont l'absence motive la décision de refus du permis de construire. Les recourants ne sauraient toutefois être suivis sur ce point. En effet, il ressort du dossier que le document auquel se réfère l'autorité intimée dans sa décision est un plan de coupe B – B, tel que requis par C.________ dans l'opposition formulée par son conseil le 19 février 2020. Certes, il n'est pas établi que cette opposition ait été transmise aux recourants. Toutefois, ils en ont eu connaissance dans la mesure où dans son courriel du 6 août 2020 la recourante indique expressément avoir consulté cette pièce. A tout le moins dès cet instant, elle pouvait comprendre que le plan mentionné dans l'opposition était un document requis par la municipalité – qui lui en avait fait part par oral. D'ailleurs, dans ce même courriel, la recourante explique que l'empiètement craint par l'opposante ne se réalisera pas, la méthodologie retenue pour réaliser l'isolation du bâtiment ECA 90 ayant changé. Il n'y a dès lors pas doute que la recourante avait compris sur quel élément portait la production du plan. Par la suite, le conseil de l'opposante a ensuite réitéré le besoin du plan de coupe B – B par courrier du 11 septembre 2020. Ainsi, lorsque l'autorité intimée, dans son courrier du 28 septembre 2020, indiquant le besoin "d'un plan de situation officiel, comprenant une coupe actuellement manquante", les recourants ne pouvaient que savoir qu'il s'agissait du plan de coupe litigieux, tel que formulé dans l'opposition. Implicitement, ils ont considéré que ce plan n'était pas utile, ayant répété leurs explications relatives à l'isolation par courriel du 2 octobre 2020 et la décision querellée, qui se fonde sur l'absence du plan requis, n'est que la suite des débats entre l'autorité intimée et les recourants. On ne saurait dès lors admettre une violation du droit d'être entendu des recourants, qui ont pu s'exprimer suffisamment sur le besoin d'un plan respectivement sur le risque d'empiètement. bb) Il n'y a pas plus de violation du droit d'être entendu en lien avec la motivation de la décision querellée. En effet, si la motivation de la décision est sommaire, elle se réfère expressément à l'absence du "document officiel" requis, dont les recourants pouvaient clairement reconnaître la nature, soit le plan de coupe B – B. Cette motivation s'inscrit dans l'ensemble des échanges entre les parties et les explications données précédemment par l'autorité intimée sont suffisantes pour comprendre à quel document il est fait référence. En outre, implicitement, l'autorité intimée se réfère au risque d'empiètement et au fait qu'elle ne peut constater, sans la production du plan litigieux, que ce risque ne se réalisera pas. L'absence de référence à des dispositions légales n'empêchait dès lors pas les recourants de s'opposer aux motifs de fond invoqués. d) En définitive, le droit d'être entendu des recourants n'a pas été violé.</w:t>
      </w:r>
    </w:p>
    <w:p>
      <w:r>
        <w:rPr>
          <w:b/>
        </w:rPr>
        <w:t>E. 3</w:t>
      </w:r>
    </w:p>
    <w:p>
      <w:r>
        <w:t>Les recourants invoquent l'interdiction du formalisme excessif, le refus ne se fondant que sur un document manquant. a)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142 I 10 consid. 2.4.2; 135 I 6 consid. 2.1; 132 I 249 consid. 5; 130 V 177 consid. 5.4.1). L'excès de formalisme peut résider soit dans la règle de comportement imposée au justiciable par le droit cantonal, soit dans la sanction qui lui est attachée.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125 I 166 consid. 3a; TF 2C_373/2011 du 7 septembre 2011 consid. 6.1; 2C_197/2010 du 30 avril 2010 consid. 6.1). b) En l'espèce, à comprendre les recourants, ceux-ci soutiennent, au moins implicitement, que le dossier était complet et que le plan demandé était inutile. Il convient donc d'examiner les documents requis dans le cadre de la délivrance d'un permis en lien avec une transformation. aa) Avant de délivrer le permis, la municipalité s'assure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de la loi du 4 décembre 1985 sur l'aménagement du territoire et les constructions (LATC; BLV 700.11), par les art. 68 à 73 du règlement du 19 septembre 1986 d'application de la LATC (RLATC; BLV 700.11.1). Le principe général est que la demande de permis doit être accompagnée de toutes les indications nécessaires pour rendre compte de l'importance et de la nature des travaux projetés (art. 69 al. 2 RLATC; cf arrêt AC.2015.0247 du 12 février 2016 consid. 2a et les arrêts cités). Sont exigés notamment les coupes nécessaires à la compréhension du projet comprenant les profils du terrain naturel et aménagé (art. 69 al. 1 ch. 3 RLATC). Pour les transformations, les plans fourniront les indications suivantes : état ancien : teinte grise; démolition : teinte jaune; ouvrage projeté : teinte rouge (ch. 9).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(arrêt AC.2007.0116 du 30 septembre 2008 consid. 8a et les références citées). Il en va ainsi en particulier des plans de coupe (arrêt AC.2007.0154 du 9 septembre 2009 consid. 3). bb) En l'espèce, le bâtiment ECA 90 est situé sur la limite avec la parcelle n° 540, propriété de l'opposante. En ce sens, cette construction bénéfice d'une dérogation à la règlementation communale, qui prévoit à l'art. 8 RPGA que la distance à la limite de la propriété voisine est de 5 mètres au minimum. En outre, l'empiètement éventuel dont il était question dans l'opposition constitue manifestement une atteinte aux droits de l'opposante. Dès lors, les conditions fixées aux art. 14 RPGA et 80 LATC devaient être réalisées, et en particulier les plans fournis dans le cadre de l'enquête – respectivement plus tard – devaient permettre à l'autorité intimée de s'assurer que les travaux envisagés n'aggraveraient pas l'atteinte existante au règlement, respectivement aux droits des tiers. Or, les plans figurant au dossier sont datés du 25 mai 2018 et font état d'une isolation posée à l'extérieur au premier étage et dans les combles. Ils n'ont pas été modifiés à la suite des discussions avec l'opposante, même si le plan de situation a été établi le 15 novembre 2019. Certes, les recourants ont modifié leur projet en adoptant une autre manière de poser cette isolation, notamment en utilisant un vide se trouvant dans les murs du premier étage et en changeant un certain nombre des briques extérieures. Les plans disponibles ne reflètent toutefois pas cette modification et il n'en ressort pas manifestement que tout empiètement sur la parcelle voisine serait proscrit. Dès lors, le plan de coupe B – B requis par la municipalité était manifestement nécessaire pour que cette autorité puisse se rendre compte de l'impact éventuel de l'isolation et son exigence n'était pas constitutive d'un formalisme excessif. c) Au vu des motifs qui précèdent, le recours contre la décision du 8 octobre 2020 doit être rejeté et celle-ci confirmée.</w:t>
      </w:r>
    </w:p>
    <w:p>
      <w:r>
        <w:rPr>
          <w:b/>
        </w:rPr>
        <w:t>E. 4</w:t>
      </w:r>
    </w:p>
    <w:p>
      <w:r>
        <w:t>Les recourants contestent ensuite la décision du 20 octobre 2020, soit le refus du permis d'habiter. Ils estiment d'une part que les griefs ne relèvent pas de la salubrité ou de la dangerosité et, d'autre part, qu'aucun délai ne leur a été imparti pour procéder à des corrections. Ils se plaignent ainsi d'une violation du principe de proportionnalité. a) Aux termes de l'art. 128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En outre, selon l'art. 79 al. 1 RLATC, applicable par renvoi de l'art. 129 LATC,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et si l'équipement du terrain est réalisé (let. d). L'institution du permis d'habiter a pour seul but de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Ainsi, le permis d'habiter est lié à la procédure de permis de construire. Il représente un constat final de la conformité des travaux et permet à l'autorité d'intervenir si le constructeur n'a pas respecté les plans et les conditions posées dans le permis de construire. La délivrance du permis d'habiter n'est pas destinée à vérifier une nouvelle fois si les dispositions réglementaires sont respectées: en effet, cet examen a déjà eu lieu lors de l'octroi du permis de construire (AC.2017.0358 du 27 mars 2019). Il est par ailleurs douteux que l'autorité municipale puisse imposer le respect d'une nouvelle norme sur un point qui n'a fait l'objet d'aucune condition ou charge dans le permis de construire, car une telle situation reviendrait à remettre en cause l'autorisation entrée en force (AC.2010.0219 du 12 juin 2012 consid. 4). L'art. 79 al. 1 let. a RLATC prévoit certes de vérifier "si les locaux satisfont aux conditions fixées par la loi et les règlements", mais cette disposition de niveau réglementaire doit être interprétée dans le cadre de la base légale que constitue l'art. 128 LATC: lorsque rien n'indique que, aux termes de cette disposition, les constructions réalisées ne respecteraient pas les conditions du permis de construire, le permis d'habiter doit être délivré (cf. AC.2020.0004 du 10 août 2020 consid. 2, AC.2017.0002 du 18 août 2017 consid. 2a, AC.2015.0272 du 3 juin 2016 consid. 1a). Lorsque la municipalité constate que les travaux ne sont pas conformes ou que des modifications du projet autorisé requièrent des autorisations spéciales ou préavis complémentaires, elle doit transmettre le dossier aux services concernés, pour qu'ils se déterminent, cas échéant qu'ils prennent les mesures requises. Dans l'intervalle, il lui appartient de prendre elle-même des mesures appropriées aux circonstances, notamment sous l'angle de la proportionnalité, par exemple la suspension, la suppression ou la modification des travaux, le refus du permis d'utiliser ou d'habiter, ou encore le retrait de celui-ci s'il a été délivré (cf. AC.2012.0139 du 2 septembre 2013: consid. 1). b) L'art. 93 LATC, sous le titre "inspection des bâtiments" (dans le chapitre "solidité, sécurité et salubrité des constructions"), prévoit encore que: " 1 La municipalité fait procéder à des inspections des bâtiments chaque fois qu'elle le juge nécessaire, ainsi que sur la demande motivée des propriétaires, des locataires ou des médecins notamment; le propriétaire et les personnes qui ont requis l'inspection en sont avisés. Le règlement communal peut prescrire des inspections périodiques. 2 Lorsqu'un bâtiment est reconnu insalubre ou dangereux et que le propriétaire ne prend aucune mesure pour y remédier dans le délai qui lui est imparti, la municipalité en ordonne l'évacuation et retire le permis d'habiter." L'art. 93 al. 2 LATC permet donc à la municipalité de rendre un bâtiment ou certains de ses locaux inhabitables s'il existe un danger pour les habitants. La municipalité ne saurait toutefois retirer le permis d'habiter sans avoir préalablement mis en demeure le propriétaire d'exécuter les mesures propres à éviter un éventuel danger (AC.2016.0241 du 10 mars 2017 consid. 4). Le législateur a prévu que la municipalité fixe, dans un premier temps, un délai pour d'éventuelles mesures de réparation. Ce régime tient compte du fait que le retrait du permis d'habiter, qui correspond à la révocation d'une autorisation dont le propriétaire a fait usage, ne peut intervenir qu'après une pesée complète des intérêts en jeu (AC.2019.0139 du 30 octobre 2019, consid. 2/a). c) Comme évoqué plus haut, le droit d'être entendu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TF 2C_501/2020 du 15 mars 2021 consid. 5.1). Il implique également pour l'autorité l'obligation de motiver sa décision afin que le justiciable puisse la comprendre, la contester utilement s'il y a lieu et exercer son droit de recours à bon escient. En droit vaudois, l'art. 33 al. 1 LPA-VD prévoit dans ce cadre qu'hormis lorsqu'il y a péril en la demeure, les parties ont le droit d'être entendues avant toute décision les concernant. c) aa) Il convient dans un premier temps d'établir dans quel cadre s'inscrit la décision prise par l'autorité intimée le 20 octobre 2020, qui ne le précise pas, ne citant en particulier pas les bases légales sur lesquelles elle se fonde. Le "dispositif" de cette décision porte sur le fait qu'il n'est pas possible de délivrer un permis d'habiter. A comprendre l'autorité, le bâtiment ECA 90 ne ferait donc pas actuellement l'objet d'un permis d'habiter permettant son occupation, malgré le fait que le registre foncier retienne qu'une habitation est présente sur la parcelle. Certes, les recourants ne paraissent pas contester ce point. La situation du bâtiment ne ressort toutefois pas clairement du dossier, même si, pour les raisons qui suivent, cette question peut souffrir de rester indécise. Toujours à comprendre l'autorité intimée, la décision querellée ne doit pas être mise en rapport avec la demande de permis de construire CAMAC n° 185239 mais avec l'occupation du logement par un locataire frontalier non inscrit au contrôle des habitants, et sans permis de travail. La motivation de la décision est toutefois muette sur ce point, celle-ci se fondant sur divers problèmes constatés lors d'une visite du bâtiment le 20 octobre 2020, qui de l'avis du bureau technique, auquel s'est rallié l'autorité intimée, entraîneraient un risque pour la sécurité des locataires. On déduit donc de la motivation que l'autorité intimée a fait application de l'art. 93 LATC, portant sur l'inspection des bâtiments. bb) Cela étant, on ne peut que constater que la motivation de la décision est lacunaire. En effet, l'autorité intimée n'expose pas de quelle manière la sécurité des éventuels locataires – ou occupants – serait mise immédiatement en danger, ce qui justifierait un refus de délivrance, respectivement un retrait, du permis d'habiter. Elle se contente de se référer à un avis du bureau technique, qui n'est pas présent au dossier. Les recourants seraient dès lors bien en peine de contester efficacement la décision, à défaut de comprendre le lien effectué par l'autorité intimée entre les constats et la conclusion. En particulier, on ne perçoit pas que l'absence de ventilation de la salle de bains ou de chauffage central (qui pourrait temporairement être remplacé par des chauffages d'appoint) présentent un risque immédiat et important. Le fait que la surface habitable soit insuffisante pour loger quatre personnes, alors que le reproche semble porter sur la présence d'une seule personne dans le logement, ne paraît pas plus pertinent. Enfin, l'absence d'un autre chemin de fuite que la porte d'entrée peut en effet constituer un risque, mais celui-ci doit être explicité et l'autorité intimée devait également préciser quels types de travaux étaient nécessaires. En outre, il n'est toutefois pas établi que les recourants aient été interpellés sur les constats effectués et que la possibilité leur a été donnée de se déterminer. Pour ce motif déjà, la décision doit être annulée, le droit d'être entendu des recourants ayant été manifestement violé. cc) Au demeurant, l'autorité intimée n'a pas respecté les conditions fixées par l'art. 93 al. 2 LATC en n'impartissant pas un délai aux recourants pour procéder aux mesures nécessaires pour remédier aux défauts constatés. Elle n'expose pas plus en quoi le danger serait immédiat, ce qui pourrait justifier une décision d'extrême urgence. Dès lors, les conditions d'un refus – retrait – du permis d'habiter n'étaient en l'état pas données. Pour ce second motif, la décision doit être annulée. d) En définitive, pour les raisons exposées ci-dessus, la décision du 20 octobre 2020 doit être annulée. 4.                Les considérants qui précédent entraînent l'admission partielle du recours et l'annulation de la décision du 20 octobre 2020, celle du 8 octobre 2020 étant confirmée. Chaque partie succombant, elle supportera une partie des frais (art. 49 al. 1 LPA-VD; 4 al. 1 du tarif du 28 avril 2015 des frais judiciaires et des dépens en matière administrative [TFJDA; BLV 173.36.5.1]). Les recourants, qui sont intervenus par le biais d'un mandataire professionnel, ont droit à des dépens réduits à charge de l'autorité intimée (art. 55 al. 1 et 2 LPA-VD;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