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AC.2020.0296 vom 14. Dezember 2021</w:t>
      </w:r>
    </w:p>
    <w:p>
      <w:r>
        <w:t>VD Tribunal cantonal, 2021-12-14, FR</w:t>
      </w:r>
    </w:p>
    <w:p>
      <w:r>
        <w:rPr>
          <w:b/>
        </w:rPr>
        <w:t xml:space="preserve">Quelle: </w:t>
      </w:r>
      <w:r>
        <w:t>https://mcp.opencaselaw.ch/entscheid/vd_omni_AC.2020.0296</w:t>
      </w:r>
    </w:p>
    <w:p>
      <w:r>
        <w:t>FR: VD_OMNI AC.2020.0296 du 14 décembre 2021</w:t>
      </w:r>
    </w:p>
    <w:p>
      <w:r>
        <w:t>IT: VD_OMNI AC.2020.0296 del 14 dicembre 2021</w:t>
      </w:r>
    </w:p>
    <w:p>
      <w:pPr>
        <w:pStyle w:val="Heading2"/>
      </w:pPr>
      <w:r>
        <w:t>Regeste</w:t>
      </w:r>
    </w:p>
    <w:p>
      <w:r>
        <w:t>A.________/Département des institutions et du territoire, Conseil communal de la Commune de Chardonne | Recours d'un propriétaire foncier contre l'inclusion de sa parcelle partiellement construite dans une zone réservée communale, à Chardonne. Le surdimensionnement de la zone à bâtir n'est pas contesté. Vu notamment la taille importante de la parcelle, sa situation hors centre et la continuité formée avec la zone forestière et non construite, la mesure est adéquate et proportionnée. Pas de violation de la garantie de propriété, étant relevé que le règlement de la zone réservée laisse au recourant la possibilité de transformer le bâtiment existant. (consid. 4) Rejet du recours.</w:t>
      </w:r>
    </w:p>
    <w:p>
      <w:pPr>
        <w:pStyle w:val="Heading2"/>
      </w:pPr>
      <w:r>
        <w:t>Erwägungen</w:t>
      </w:r>
    </w:p>
    <w:p>
      <w:r>
        <w:rPr>
          <w:b/>
        </w:rPr>
        <w:t>E. 1</w:t>
      </w:r>
    </w:p>
    <w:p>
      <w:r>
        <w:t>L’art. 75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Dès lors qu'il est directement touché par la décision attaquée en tant que propriétaire d'une parcelle incluse dans la zone réservée litigieuse, le recourant dispose manifestement de la qualité pour recourir.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Le recourant a requis une conciliation. Conformément à l'art. 84 LPA-VD, applicable par renvoi de l'art. 99 LPA-VD, l'autorité tente la conciliation entre les parties, si l'affaire s'y prête. En l'occurrence, les autorités communales ont déjà tenu une séance de conciliation avec le recourant, le 5 septembre 2017. A cette occasion, ces autorités ont pris note des propositions du recourant. Il n'apparaît ainsi pas nécessaire d'organiser une nouvelle séance de conciliation à ce stade. Il n'est dès lors pas donné suite à cette requête.</w:t>
      </w:r>
    </w:p>
    <w:p>
      <w:r>
        <w:rPr>
          <w:b/>
        </w:rPr>
        <w:t>E. 3</w:t>
      </w:r>
    </w:p>
    <w:p>
      <w:r>
        <w:t>Le recourant invoque un vice de forme par le fait que la décision du Conseil communal de Chardonne du 27 février 2018 d'adopter notamment la zone réservée et de lever son opposition ne lui a pas été formellement notifiée dès lors qu'elle n'était pas jointe à la lettre du DTE du 31 août 2020. Il admet toutefois avoir pu en prendre connaissance par l'intermédiaire de la Municipalité de Chardonne et avoir pu l'attaquer dans le délai, de sorte que ce grief est sans objet.</w:t>
      </w:r>
    </w:p>
    <w:p>
      <w:r>
        <w:rPr>
          <w:b/>
        </w:rPr>
        <w:t>E. 4</w:t>
      </w:r>
    </w:p>
    <w:p>
      <w:r>
        <w:t>Le recourant invoque en substance une violation de la garantie constitutionnelle de la propriété en raison de l'institution d'une zone réservée. Il fait valoir une absence d'intérêt public. Il expose que sa parcelle comporte déjà plusieurs constructions et reproche à l'autorité intimée de ne pas avoir pris en compte la particularité du patrimoine architectural du quartier avant d'instaurer la zone réservée. Selon lui, dans la mesure où elle se trouve à quelques mètres de la zone de village du Mont-Pèlerin et à quelques mètres seulement de deux importants complexes hôteliers, sa parcelle sera manifestement appelée à demeurer bâtie, dans un quartier résidentiel. Il relève l'utilisation historique de sa parcelle à des fins hôtelières et soutient qu'il devrait procéder prochainement à des gros travaux de rénovation en vue de pouvoir la revendre. a) Dans sa teneur en vigueur depuis le 1er janvier 2014, l'art. 15 de la loi fédérale sur l'aménagement du territoire du 22 juin 1979 (LAT; RS 700) prévoit notamment que "les zones à bâtir sont définies de telle manière qu’elles répondent aux besoins prévisibles pour les quinze années suivantes" (al. 1) et que "les zones à bâtir surdimensionnées doivent être réduites" . Dans le Canton de Vaud, le Plan directeur cantonal (PDCn), dont la 4ème version a été approuvée le 20 décembre 2019 par le Conseil fédéral,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La mesure A11 du PDCn préconise que la révision des PGA prenne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b) L'art. 27 LAT,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Au niveau cantonal, sous la note marginale "zone réservée", l'art. 46 LATC, dans sa teneur en vigueur au 1er septembre 2018, dispose ce qui suit: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 viennent entraver cette liberté (ATF 136 I 142; TF 1C_394/2019 du 14 août 2020 et les références citées). Selon la jurisprudence (cf. AC.2020.0244 du 30 juin 2021 consid. 3, AC.2019.0114 du 20 janvier 2020 consid. 1b et les références citées),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Alexander Ruch, in Commentaire pratique LAT: Planifier l'affectation, 2016, n° 47 ad art. 27; Bernhard Waldmann / Peter Hänni, Handkommentar RPG, Berne 2006, n° 21 ad art. 27). Le Tribunal fédéral a encore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précité consid. 4.2).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(1C_545/2018 du 19 novembre 2019, consid. 4.3). Au fil des arrêts rendus en matière de zones réservées, le Tribunal fédéral a été amené à considérer qu'en cas de surdimensionnement de la zone à bâtir, la zone réservée ne doit pas s'étendre à tout le territoire communal mais doit inclure seulement les secteurs qui entrent en considération pour une réduction de la zone à bâtir (1C_511/2018 du 3 septembre 2019: ATF 145 II 354, consid. 5.4 non publié et les références citées). Inversement, pour confirmer une zone réservée communale à Founex qui s'étendait à l'ensemble des surfaces constructibles à faible densité, le Tribunal fédéral a retenu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pourront pas être concernées par le remaniement de la zone à bâtir (1C_16/2019 du 18 octobre 2019, consid. 4.4, cf. également AC.2018.0009 du 23 novembre 2018). Dans le cadre d'un recours formé contre l'exclusion d'une parcelle d'une zone réservée à St-Légier – La Chiésaz, le Tribunal fédéral a considéré que l'institution d'une zone réservée s'étendant à l'ensemble des surfaces non encore construites situées hors centre permettait d'assurer une liberté d'action suffisante de la commune dans le cadre de la révision de son plan d'affectation à l'échelle de tout le territoire communal (TF 1C_267/2019 du 5 mai 2020 précité consid. 5.2). En cas d'adaptation d'un plan, le propriétaire ne peut tirer de la garantie de la propriété un droit acquis au maintien du régime applicable à son bien-fonds (AC.2018.0025 du 15 novembre 2019 consid. 3c et les références citées, en particulier Thierry Tanquerel, Commentaire pratique LAT: Planifier l'affectation, Genève 2016, n. 56 ad art. 21 LAT). c) En l'occurrence, le recourant ne conteste pas le surdimensionnement constaté pour la Commune de Chardonne. Sa parcelle, entourée certes de parcelles construites à l'est, au sud et à l'ouest, borde la forêt au nord. Elle est d'ailleurs occupée par la forêt sur près de la moitié de sa surface. Elle est située dans la partie nord du territoire communal, dans une zone décentrée et dans une zone résidentielle alternant des parcelles construites et des parcelles non construites ou forestières. Par sa situation et ses dimensions particulièrement importantes, il n'apparaît pas d'emblée que la parcelle du recourant ne pourrait pas être concernée par le remaniement de la zone à bâtir, étant relevé que le fait qu'elle soit équipée et que s'y trouve déjà une construction n'est pas déterminant. En conséquence, son inclusion dans la zone réservée permettra à la Commune de disposer d'une marge d'appréciation suffisante dans le cadre de la révision à venir de la planification communale. Au demeurant, le règlement de la zone réservée permet certains agrandissements et les transformations (cf. art. 3 al. 2 et 3). Il n'est dès lors pas établi que les projets du recourant visant à mettre " au goût du jour " la construction actuelle ne pourraient être autorisés. Aucune violation du principe de la proportionnalité ne saurait donc en être tiré. En conclusion, la Cour de céans ne voit pas de raison de s'écarter de l'appréciation des autorités intimées selon laquelle cette mesure provisoire que constitue la zone réservée litigieuse est conforme aux art. 27 LAT et 46 LATC, répond à un intérêt public et est adéquate et proportionnée. Il résulte de ce qui précède que la zone réservée communale sur la parcelle n° 2361 peut être confirmée.</w:t>
      </w:r>
    </w:p>
    <w:p>
      <w:r>
        <w:rPr>
          <w:b/>
        </w:rPr>
        <w:t>E. 5</w:t>
      </w:r>
    </w:p>
    <w:p>
      <w:r>
        <w:t>Il résulte des considérants qui précèdent que le recours doit être rejeté et que les décisions du Département des institutions et du territoire du 16 mars 2020 et du Conseil communal de Chardonne des 27 février 2018 et 25 juin 2019 doivent être confirmées. Vu le sort du recours, les frais de la cause sont mis à la charge du recourant qui succombe (art. 49 LPA-VD et 4 du tarif du 28 avril 2015 des frais judiciaires et des dépens en matière administrative [TFJDA; BLV 173.36.5.1]). La Commune de Chardonne ayant procédé avec l'assistance d'un conseil, elle a droit à une indemnité à titre de dépens à la charge du recourant qui succombe (art. 55 LPA-VD et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