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AC.2020.0276 vom 18. März 2021</w:t>
      </w:r>
    </w:p>
    <w:p>
      <w:r>
        <w:t>VD Tribunal cantonal, 2021-03-18, FR</w:t>
      </w:r>
    </w:p>
    <w:p>
      <w:r>
        <w:rPr>
          <w:b/>
        </w:rPr>
        <w:t xml:space="preserve">Quelle: </w:t>
      </w:r>
      <w:r>
        <w:t>https://mcp.opencaselaw.ch/entscheid/vd_omni_AC.2020.0276</w:t>
      </w:r>
    </w:p>
    <w:p>
      <w:r>
        <w:t>FR: VD_OMNI AC.2020.0276 du 18 mars 2021</w:t>
      </w:r>
    </w:p>
    <w:p>
      <w:r>
        <w:t>IT: VD_OMNI AC.2020.0276 del 18 marzo 2021</w:t>
      </w:r>
    </w:p>
    <w:p>
      <w:pPr>
        <w:pStyle w:val="Heading2"/>
      </w:pPr>
      <w:r>
        <w:t>Regeste</w:t>
      </w:r>
    </w:p>
    <w:p>
      <w:r>
        <w:t>A.________ /Municipalité de Lausanne, B.________ et C.________ | Recours contre la décision refusant un permis de construire pour un projet de transformation d'un bâtiment ayant reçu la note 3 au recensement architectural du canton de Vaud (hôtel) avec démolition d'un bâtiment annexe sur une parcelle située à proximité directe du centre-ville. Pesée des intérêts lors de l'accomplissement d'activités ayant des effets sur l'organisation du territoire (art. 3 OAT). Dans l'arrêt publié aux ATF 145 I 52, le Tribunal fédéral a posé le principe suivant (regest du consid. 4): si, pour des raisons esthétiques, l'autorité communale des constructions exige une réduction de l'indice brut d'utilisation de masse en principe admissible, cette réduction doit être justifiée par des intérêts publics prépondérants. En l'espèce, le projet permet l'installation d'un nouveau commerce (au rez-de-chaussée du nouveau bâtiment), le maintien et la rénovation d'un commerce existant (l'hôtel-restaurant) et la création de 11 appartements. La décision ne se prononce pas sur l'intérêt public à permettre une utilisation de cette parcelle conforme à ce que prévoit la réglementation de la zone urbaine, conçue pour une occupation dense du sol (avec l'ordre contigu, la possibilité de construire sur la limite des constructions le long de la rue et une hauteur des façades importante). La municipalité n'a pas effectué la pesée des intérêts prescrite par l'art. 3 OAT, en renonçant en particulier à exposer la pondération des intérêts concernés dans la motivation. Admission pour ce motif du recours.</w:t>
      </w:r>
    </w:p>
    <w:p>
      <w:pPr>
        <w:pStyle w:val="Heading2"/>
      </w:pPr>
      <w:r>
        <w:t>Erwägungen</w:t>
      </w:r>
    </w:p>
    <w:p>
      <w:r>
        <w:rPr>
          <w:b/>
        </w:rPr>
        <w:t>E. 1</w:t>
      </w:r>
    </w:p>
    <w:p>
      <w:r>
        <w:t>La décision par laquelle une municipalité refuse un permis de construire peut faire l'objet d'un recours de droit administratif au sens des art. 92 ss de la loi du 28 octobre 2008 sur la procédure administrative (LPA-VD; BLV 173.36). Le recours a été déposé en temps utile (cf. art. 95 LPA-VD). Il respecte les exigences légales de motivation (art. 79 LPA-VD, par renvoi de l'art. 99 LPA-VD). La recourante, principale destinataire de la décision attaquée, a manifestement qualité pour recourir (art. 75 let. a LPA-VD). Il y a lieu d'entrer en matière sur le fond.</w:t>
      </w:r>
    </w:p>
    <w:p>
      <w:r>
        <w:rPr>
          <w:b/>
        </w:rPr>
        <w:t>E. 2</w:t>
      </w:r>
    </w:p>
    <w:p>
      <w:r>
        <w:t>Elle refuse le permis pour les constructions ou les démolitions susceptibles de compromettre l'aspect et le caractère d'un site, d'une localité, d'un quartier ou d'une rue, ou de nuire à l'aspect d'un édifice de valeur historique, artistique ou culturelle.</w:t>
      </w:r>
    </w:p>
    <w:p>
      <w:r>
        <w:rPr>
          <w:b/>
        </w:rPr>
        <w:t>E. 3</w:t>
      </w:r>
    </w:p>
    <w:p>
      <w:r>
        <w:t>Sur la base de ce préavis, la Municipalité peut imposer des restrictions au droit de bâtir et interdire les constructions, transformations ou démolitions.</w:t>
      </w:r>
    </w:p>
    <w:p>
      <w:r>
        <w:rPr>
          <w:b/>
        </w:rPr>
        <w:t>E. 4</w:t>
      </w:r>
    </w:p>
    <w:p>
      <w:r>
        <w:t>Le recours doit donc être admis, la décision attaquée doit être annulée et la cause doit être renvoyée à la municipalité pour nouvelle décision au sens des considérants précédents. Vu l'issue de la cause, un émolument judiciaire réduit doit être mis à la charge des opposantes, qui succombent (cf. art. 49 LPA-VD). Il n'y a pas lieu de mettre le solde des frais de justice à la charge de la commune. La recourante, représentée par un avocat, a droit à des dépens, à la charge de la Commune de Lausanne, d'une part, et des opposantes, d'autre part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