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AC.2020.0246 vom 21. Mai 2021</w:t>
      </w:r>
    </w:p>
    <w:p>
      <w:r>
        <w:t>VD Tribunal cantonal, 2021-05-21, FR</w:t>
      </w:r>
    </w:p>
    <w:p>
      <w:r>
        <w:rPr>
          <w:b/>
        </w:rPr>
        <w:t xml:space="preserve">Quelle: </w:t>
      </w:r>
      <w:r>
        <w:t>https://mcp.opencaselaw.ch/entscheid/vd_omni_AC.2020.0246</w:t>
      </w:r>
    </w:p>
    <w:p>
      <w:r>
        <w:t>FR: VD_OMNI AC.2020.0246 du 21 mai 2021</w:t>
      </w:r>
    </w:p>
    <w:p>
      <w:r>
        <w:t>IT: VD_OMNI AC.2020.0246 del 21 maggio 2021</w:t>
      </w:r>
    </w:p>
    <w:p>
      <w:pPr>
        <w:pStyle w:val="Heading2"/>
      </w:pPr>
      <w:r>
        <w:t>Regeste</w:t>
      </w:r>
    </w:p>
    <w:p>
      <w:r>
        <w:t>A.________/Municipalité de Pully, B.________, Direction générale des immeubles et du patrimoine | Recours contre la délivrance d'un permis de construire un bâtiment d'habitation de 8 logements après démolition d'une maison individuelle de note *4*. Qualité pour recourir de l'occupant de la villa à démolir, qu'il habite sans droit, douteuse (consid. 1). Rejet des griefs relatifs aux modifications apportées au projet (consid. 2), à l'accès/équipement (consid. 3), aux nuisances sonores excessives du parking souterrain (consid. 4), à l'esthétique (consid. 5), à l'abattage de 10 arbres protégés mais non classés (consid. 6) et à l'accès pour les véhicules des sapeurs-pompiers (consid. 7). Recours rejeté. Recours au TF déclaré irrecevable par arrêt du 13 septembre 2022 (1_390/2021). Demande de révision rejetée par arrêt du 8 mars 2024 (1F_5/2023).</w:t>
      </w:r>
    </w:p>
    <w:p>
      <w:pPr>
        <w:pStyle w:val="Heading2"/>
      </w:pPr>
      <w:r>
        <w:t>Erwägungen</w:t>
      </w:r>
    </w:p>
    <w:p>
      <w:r>
        <w:rPr>
          <w:b/>
        </w:rPr>
        <w:t>E. 1</w:t>
      </w:r>
    </w:p>
    <w:p>
      <w:r>
        <w:t>a) La décision par laquelle une municipalité lève les oppositions à un projet de construction et délivre le permis de construire peut faire l'objet d'un recours de droit administratif au sens des art. 92 ss de la loi du 28 octobre 2008 sur la procédure administrative (LPA-VD; BLV 173.36). Le recours a été déposé en temps utile (art. 95 LPA-VD) et il respecte les exigences légales de motivation (art. 79 LPA-VD, par renvoi de l'art. 99 LPA-VD). b) Il convient toutefois d’examiner la qualité pour recourir de A.________ qui habite la villa vouée à la démolition et qui prétend être au bénéfice d'un contrat de bail tacite. aa) Selon l'art. 75 let. a LPA-VD, a qualité pour former recours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La jurisprudence précise que le recourant doit être touché dans une mesure et avec une intensité plus grandes que la généralité des administrés et que l'intérêt invoqué – qui n'est pas nécessairement un intérêt juridiquement protégé, mais qui peut être un intérêt de fait – doit se trouver avec l'objet de la contestation dans un rapport étroit, spécial et digne d'être pris en considération. Il faut donc que l'admission du recours procure au recourant un avantage, de nature économique, idéale ou matérielle. Le recours d'un particulier formé dans l'intérêt général ou d'un tiers est en revanche irrecevable. Ces exigences ont été posées de manière à empêcher l'"action populaire", lorsqu'un particulier conteste une autorisation donnée à un tiers (cf. AC.2015.0347 du 27 mars 2017 consid. 2a et les références citées, dont l’ATF 135 II 145 consid. 6.1). De plus, le droit de recours suppose que l'intérêt digne de protection à l'annulation ou à la modification de la décision entreprise soit actuel et pratique. Cet intérêt doit exister non seulement au moment où le recours est déposé, mais encore lors du prononcé de la décision sur recours (ATF 136 II 101 consid. 1.1). S'il disparaît pendant la procédure, la cause est rayée du rôle comme devenue sans objet (TF arrêt 2C_423/2007 du 27 septembre 2007 consid.1). bb) En matière de construction, le voisin a en principe qualité pour agir lorsque son terrain jouxte celui du constructeur ou se trouve à sa proximité immédiate. Il peut exiger l'examen d'un projet de construction à la lumière de toutes les normes juridiques susceptibles d'avoir une incidence sur sa situation de fait ou de droit; est décisif le fait que l'admission du recours pourrait lui procurer un avantage pratique (ATF 138 II 191 consid. 5.2; arrêt AC.2014.0348 du 14 mars 2017 consid. 5). Le voisin ne saurait en revanche se prévaloir uniquement de l'intérêt général à l'application correcte du droit, sans obtenir un avantage en cas d'admission du recours (ATF 137 II 30 consid. 2.2.3 p. 33). c) Lorsque le voisin n’est pas titulaire de droits réels mais est locataire, il peut lui aussi recourir s’il est davantage touché que la généralité des administrés, par exemple s’il peut se plaindre d’immissions excessives provoquées par l’octroi d’un permis de construire (Broglin/Winkler Docourt, Procédure administrative, Principes généraux et procédure jurassienne, Zurich 2015, p. 156, n° 430). Le locataire subit en effet de la même manière que le propriétaire les inconvénients liés à la réalisation d'un projet contesté, spécialement s'il est lié par un contrat de bail de longue durée, qui l'a amené à réaliser des investissements importants dans les locaux en cause (AC.2018.0428 du 7 juin 2019 consid. 1c et les références citées, en particulier AC.1996.0154 du 9 février 1999 et AC.1997.0010 du 2 avril 1997). La qualité pour agir fondée sur un intérêt digne de protection est ainsi généralement reconnue au locataire voisin s’il est lié par un contrat de bail dont le maintien à moyen ou long terme présente pour lui un intérêt important de nature économique ou autre. La notion de locataire comprend également le locataire d’une surface commerciale (Pfeiffer, La qualité pour recourir en droit de l’aménagement du territoire et de l’environnement, Etude de droit fédéral et vaudois, thèse Genève/Zurich/Bâle 2013, p. 45). Il n’est pas fréquent que le locataire d’un appartement forme un recours contre l’octroi d’un permis de construire délivré au propriétaire foncier qui est son bailleur, pour un ouvrage à réaliser sur la parcelle où il réside. En règle générale, si un locataire et un bailleur ont un différend au sujet des qualités ou de l’aménagement de la chose louée, des prescriptions du droit privé sont applicables et la juridiction compétente est celle qui traite des litiges concernant les baux. Ainsi, lorsque le locataire attaque une décision concernant l’immeuble qu’il habite, il agit contre l’intérêt du propriétaire avec lequel il est lié par un contrat de bail. Dès lors que les conflits au sujet de travaux de modification ou de rénovation de la chose louée sont soumis au droit privé, en particulier l’art. 260 de la loi fédérale complétant le Code civil du 30 mars 1911 (Code des obligations [CO] ; RS 220) relatif à la rénovation et modification de la chose louée par le bailleur, la jurisprudence et la doctrine s’accordent pour dire que s’il existe un moyen de droit privé, même moins commode, à disposition de l’intéressé pour écarter le préjudice dont il se plaint, la qualité pour agir fondée sur l’intérêt digne de protection doit lui être niée (AC.2007.0266 du 10 avril 2008 consid. 1b et les références citées). Le Tribunal a notamment considéré que la locataire qui s'oppose à la construction d'une pergola devant les fenêtres de son atelier au motif que cette installation la priverait de lumière et l'empêcherait d'exercer son activité professionnelle de manière conforme à l'usage prévu par son contrat de bail n’a pas qualité pour agir, dès lors qu’il s'agit de questions qui concernent exclusivement les rapports de droit privé entre la locataire et ses bailleurs (AC.2007.0266 précité consid. 1c ; Pfeiffer, op. cit., p. 46). On peut néanmoins concevoir qu’un locataire ne reproche à son bailleur que la violation de règles du droit public, en relation avec un projet de construction, sans prétendre qu’il ne tiendrait pas ses engagements contractuels; dans cette mesure, le recours du locataire contre le permis de construire serait recevable, dès lors que son admission pourrait lui procurer un avantage pratique qu’il n’obtiendrait pas devant la juridiction civile (AC.2015.0170 du 19 août 2016; AC.2014.0114 du 17 AC.2011.0201 du 28 mai 2013; AC.2011.0020 du 21 novembre 2011; à propos de la qualité pour recourir du locataire en droit administratif, dans un autre contexte, cf. ATF 131 II 649). La légitimité pour agir du locataire contre son propre bailleur est admise en particulier à l’encontre d’une décision nécessitant une autorisation spéciale en vertu de la loi vaudoise du</w:t>
      </w:r>
    </w:p>
    <w:p>
      <w:r>
        <w:rPr>
          <w:b/>
        </w:rPr>
        <w:t>E. 4</w:t>
      </w:r>
    </w:p>
    <w:p>
      <w:r>
        <w:t>mars 1985 concernant la démolition, la transformation et la rénovation de maisons d’habitation (LDTR, actuellement remplacée par la loi du 10 mai 2016 sur la préservation et la promotion du parc locatif: LPPPL; BLV 840.15), dès lors que les moyens de droit privé à disposition du locataire ne permettent pas d’invoquer les dispositions de cette loi (Pfeiffer, op. cit., p. 46). Il résulte de ce qui précède que les locataires conservent un intérêt digne de protection à ce que soit tranchée la question de la conformité à cette loi d’un projet concernant l’immeuble qu’ils occupent, en tout cas pour autant que la validité de la résiliation de leur bail n’ait pas été définitivement tranchée sur le plan civil. Les personnes qui ne sont plus au bénéfice d’un droit personnel d’occuper l’immeuble, notamment parce que le contrat de bail ou de prêt dont elles bénéficiaient est arrivé à terme, ne peuvent en revanche faire valoir un intérêt suffisant (AC.2015.0170 précité consid. 2b ; AC.2016.0417 du 20 décembre 2016 consid. 2b). Le Tribunal s'est récemment prononcé sur une affaire où la résiliation du bail du locataire ne pouvait plus être contestée par la voie judiciaire mais que le contrat de bail n'était pas encore arrivé à échéance au moment où l'autorité devait se prononcer (AC.2015.0170 précité, consid. 2). Il a considéré que cette situation devait être assimilée à celle d'une personne qui ne bénéficie plus d'un droit à occuper l'immeuble dès lors qu'elle est amenée à devoir quitter les locaux quel que soit le résultat de la procédure administrative en cours. Le locataire ne peut dès lors tirer aucun avantage direct d'une éventuelle admission de son recours. Au contraire du locataire dont la résiliation du bail est toujours contestée devant les tribunaux, il ne peut en outre prétendre que le sort de la question "préjudicielle" de la conformité à la LDTR des travaux envisagés lui importe dans le cadre de cette contestation civile. En définitive, le Tribunal a retenu qu'un locataire dont le bail a été valablement résilié et qui est de toute manière amené à quitter les locaux ne peut plus se prévaloir d'un intérêt digne de protection. Il ne s'agit pas de dénier aux locataires la qualité pour recourir dès lors qu'une résiliation est seulement envisageable, mais bien uniquement lorsqu'il est établi que les rapports contractuels prendront fin quelle que soit l'issue de la procédure administrative (AC.2015.0170 précité; voir aussi AC.2019.0009 du 31 juillet 2019, où la qualité pour recourir a été déniée au locataire dont le bail avait été résilié de manière définitive). c) En l’espèce, le recourant A.________, qui habite la villa sise sur la parcelle n° 3026, a déclaré en audience qu'il était au bénéfice d'un contrat de bail tacite qui le lierait à l'ancienne propriétaire C.________ SA, qu'il payait toutes les charges liées à ladite villa, mais qu'il ne versait aucun loyer à la propriétaire de celle-ci. Quant au conseil de la propriétaire actuelle, B.________, il a produit un arrêt du 10 février 2021 de la Chambre des recours civile du Tribunal cantonal rendu dans le cadre d'une procédure d'expulsion à l'encontre du recourant, d'où il ressort que celui-ci n'avait pas démontré être au bénéfice d'un contrat de bail tacite faute de paiement d'un loyer, qui était pourtant un élément essentiel du contrat de bail (p. 11). Dans ces conditions, il est pour le moins douteux que le recourant, qui n'a pas établi être locataire de la villa qu'il occupe sans droit, dispose de la qualité pour recourir au sens de l'art. 75 LPA-VD. Il apparaît dès lors que le recours est irrecevable. Point n'est cependant besoin de trancher définitivement cette question, du moment que le recours doit de toute manière être rejeté sur le fond, comme on le verra ci-après. 2. Le recourant doute que les nombreuses modifications apportées au projet après la fin de l’enquête publique puissent être considérées comme des modifications de minime d'importance susceptibles d'être dispensées d'enquête complémentaire. a) Selon l'art. 111 de la loi du 4 décembre 1985 sur l'aménagement du territoire et les constructions (LATC; BLV 700.11), la municipalité peut dispenser d'enquête publique les projets de minime importance. D'après l'art. 117 LATC, lorsqu'elle impose des modifications de minime importance, la municipalité peut délivrer un permis de construire subordonné à la condition que ces modifications soient apportées au projet. Conformément à la jurisprudence, lorsqu'une modification est apportée ultérieurement à un projet déjà mis à l'enquête publique, il convient d'examiner si une nouvelle enquête se justifie. Les principes de la proportionnalité, respectivement de l'économie de la procédure, impliquent de renoncer à toute enquête pour les modifications de " minime importance " (cf. art. 111 et 117 LATC). Les modifications plus importantes, mais qui ne modifient pas sensiblement le projet, peuvent être soumises à une enquête complémentaire au sens de l’art. 72b RLATC; les modifications plus importantes doivent faire l’objet d’une nouvelle enquête publique selon l’art. 109 LATC. Selon la jurisprudence, il n'y a pas lieu de soumettre à une enquête publique complémentaire les modifications apportées à un projet après l'enquête publique, lorsque celles-ci tendent à supprimer ou corriger divers éléments critiqués par les opposants (cf. CDAP AC.2018.0433 du</w:t>
      </w:r>
    </w:p>
    <w:p>
      <w:r>
        <w:rPr>
          <w:b/>
        </w:rPr>
        <w:t>E. 6</w:t>
      </w:r>
    </w:p>
    <w:p>
      <w:r>
        <w:t>Le recourant s'oppose à l'abattage des dix arbres qu'implique le projet litigieux et laisse entendre que les mesures de compensation prévues, soit l'implantation de trois nouveaux arbres, seraient insuffisantes. En cours d'audience d'inspection locale, les recourants D.________ et E.________ (AC.2020.0235) ont produit un rapport d'expertise biologique privé établi le 18 mars 2021 par le bureau d'études en environnement H.________ (ci-après: Rapport d'expertise H.________). a) L'art. 5 let. b LPNMS dispose que sont protégés les arbres que désignent les communes par voie de classement ou de règlement communal, et qui doivent être maintenus soit en raison de leur valeur esthétique, soit en raison des fonctions biologiques qu’ils assurent. L’autorisation d’abattre des arbres protégés est réglée à l’art. 6 LPNMS, ainsi qu’à l’art. 15 du règlement d’application de la LPNMS du 22 mars 1989 (RLPNMS; BLV 450.11.1). Interprétant ces dispositions, la jurisprudence retient en substance ce qui suit: pour statuer sur une demande d'autorisation d'abattage, ainsi que sur les oppositions éventuelles (art. 21 RLPNMS), l'autorité communale procède à une pesée complète des intérêts en présence et détermine si l'intérêt public à la protection des arbres en cause l'emporte sur les intérêts publics ou privés qui lui sont opposés. Dans le cadre de cette pesée d'intérêts, il convient notamment de tenir compte de l'importance de la fonction esthétique ou biologique des plantations en cause, de leur âge, de leur situation dans l'agglomération et de leur état sanitaire. L'intérêt à la conservation d'un arbre protégé doit en outre être comparé à l'intérêt visant à permettre une utilisation rationnelle des terrains à bâtir conforme aux plans des zones et aux objectifs de développement définis par les plans directeurs; autrement dit, même si cela ne résulte pas explicitement du texte de la loi, il y a lieu d'interpréter de manière objective les intérêts du constructeur, au regard des droits conférés au propriétaire du bien-fonds par les plans et règlements d’aménagement en vigueur (cf. notamment arrêts AC.2015.0082 du 29 septembre 2015 consid. 6; AC.2012.0249 du 26 juillet 2013 consid. 10; AC.2012.0100 du 18 octobre 2012 consid. 2). Lorsque la protection instaurée par le droit communal procède non pas d'un classement individuel des arbres, mais d'un règlement déclarant protéger tous les arbres revêtant certaines caractéristiques, il faut tenir compte du caractère schématique de la protection et considérer que l'abattage et le remplacement éventuel peuvent être envisagés en rapport avec une construction (AC.2012.0300 du 12 juin 2013 consid. 6c ; AC.2012.0111 du 20 septembre 2012 consid. 2c et les références citées). L'arborisation d'une parcelle constructible doit être considérée comme un élément qui n'est pas nécessairement permanent mais qui est au contraire susceptible d'évolution, ce qui permet le cas échéant de le remodeler en procédant à de nouvelles plantations. b) La Commune de Pully dispose d’un Règlement sur la protection des arbres et Plan de classement des arbres (ci-après: le règlement communal sur les arbres) approuvé par le Département de la sécurité et de l’environnement le 26 juillet 2004. Ce dernier prévoit à son art. 3 al. 2 ce qui suit: "Sont protégés: a) tous les arbres dont le diamètre est supérieur à 30 cm. b) tous les arbres repérés sur le plan de classement. Le diamètre se mesure à 130 cm au-dessus du sol. Les diamètres de troncs multiples sur un même pied sont additionnés. Les dispositions de la législation forestière sont réservées." L'art. 46 al. 3 RCATC prévoit quant à lui ce qui suit: "Lors de toute nouvelle construction, les propriétaires sont tenus de planter sur leurs fonds, dans la mesure où cette exigence n'est pas déjà remplie, un arbre de taille majeure et d'essence appropriée aux lieux, par 500 m 2 de parcelle. Le choix des essences se fera de préférence parmi les espèces indigènes. (...)" c) En l'espèce, le projet implique l'abattage de dix arbres protégés au sens de l'art. 3 al. 2 let. a du règlement communal sur les arbres. Selon le permis de construire délivré le 3 juillet 2020, l'autorisation d'abattage est assortie de l'obligation de procéder à une arborisation compensatoire, au moins trois arbres d'ornement de taille majeure et d'essence indigène devant être plantés en pleine terre. A la demande de la municipalité, la constructrice a produit le plan 1804 EXE.1 du 27 mai 2020, prévoyant qu'outre ces trois arbres, plusieurs dizaines d'arbustes d'essence indigène seraient plantés autour de la construction projetée, ainsi que sur le toit plat. L'abattage des dix arbres en cause est destiné à permettre une utilisation rationnelle du terrain à bâtir. Il a pu être constaté à l'inspection locale que les dix arbres en question n'avaient pas de caractéristiques remarquables du point de vue esthétique ou biologique les rendant spécialement dignes d'intérêt ou de protection. En cours d'audience, l'expert H.________, mandaté par les recourants D.________ et E.________, a certes relevé la présence de deux pins, datant d'une centaine d'années, qui, selon lui, mériteraient d'être conservés. Il n'est pas contesté que ces pins bénéficient de la protection générale en raison du diamètre de leur tronc (70 et 80 cm) au sens de l'art. 3 al. 2 let. a du règlement communal sur les arbres. En revanche, ni l'expert ni le recourant A.________ ne prétendent – à juste titre – que ces pins auraient dû faire l'objet d'un classement individuel en raison de leur haute valeur historique, botanique ou paysagère au sens de l'art. 7 du règlement communal sur les arbres, prévoyant qu'en principe, les arbres classés ne peuvent être abattus. Du reste, comme cela a été relevé en audience, ces pins ne sauraient être considérés comme des exemplaires rares ou uniques, dès lors que le quartier compte d'autres pins similaires. Certes, il résulte du rapport H.________ que la parcelle n° 3026, qui comprend dix arbres majeurs (protégés, mais non classés), présente un intérêt non négligeable du point de vue biologique, dans la mesure où le manque d'entretien du jardin a permis à la végétation, composée essentiellement de broussailles et de buissons, de se développer pour servir d'habitat à la petite faune. A juste titre, l'expert H.________ ne prétend pas que cette végétation serait protégée par la réglementation communale ou cantonale ou encore fédérale, d'autant moins que, comme indiqué dans son rapport d'expertise (p. 2), cette végétation comprend des plantes figurant sur la liste noire des espèces exotiques envahissantes en Suisse (laurelles et ronces d'Arménie). Or, ces plantes portent atteinte à la biodiversité ou à la santé, dont il faut empêcher la propagation ( www.bafu.admin.ch/bafu/fr/home/themes/biodiversité ). Quant aux mesures de compensation, elles vont bien au-delà de ce qui est exigé par l'art. 46 al. 3 RCATC, prévoyant la plantation d'un arbre de taille majeure et d'essence indigène par 500 m 2 , soit en l'occurrence trois arbres compte tenu de la surface du terrain (1'304 m 2 ). En effet, il résulte des plans figurant au dossier qu'outre trois arbres de taille majeure et d'essence indigène, plusieurs dizaines d'arbustes supplémentaires d'essence indigène seront plantés sur la parcelle, étant précisé que la toiture plate sera végétalisée, ce qui permettra au bâtiment projeté de s'intégrer encore davantage dans le quartier que l'on peut qualifier de verdoyant. En cours d'audience, l'expert H.________ a déclaré que si la plantation de trois arbres majeurs et d'essence indigène au titre de mesure de compensation n'était, à ses yeux, pas suffisante, il a cependant qualifié d'"excellente" la plantation de plusieurs dizaines d'arbustes supplémentaires prévus notamment autour du bâtiment projeté, selon le plan des aménagements extérieurs 1804 EXE.1 du 27 mai 2020 (qui fait partie intégrante du permis de construire). M. H.________ a encore précisé que la constructrice avait fait un effort important au niveau de la végétation pour l'intégration du bâtiment. Compte tenu de tous ces éléments, l'intérêt public à la conservation des arbres existants doit céder le pas à l'intérêt privé de la constructrice à une utilisation rationnelle du terrain à bâtir, qui est classé en zone à moyenne densité, étant rappelé que l'exploitation maximale des possibilités de construire correspond à un intérêt public important. Contrairement à ce que laisse entendre le recourant, les possibilités de bâtir seraient excessivement réduites si les arbres existants devaient être maintenus. De même, la création d'un trottoir sur la bande de terrain longeant sa limite Ouest – qui améliore la sécurité des piétons de tout le quartier –  serait compromise. A noter que le projet litigieux, situé dans un quartier bien arboré, n'aura qu'un faible impact paysager. En effet, le caractère verdoyant du secteur sera préservé grâce à une arborisation compensatoire importante et de qualité. Dans ces conditions, c'est à bon droit que la municipalité a, au terme d'une pesée des intérêts, favorisé la réalisation de la construction prévue au détriment des dix arbres en cause. Le grief est ainsi mal fondé.</w:t>
      </w:r>
    </w:p>
    <w:p>
      <w:r>
        <w:rPr>
          <w:b/>
        </w:rPr>
        <w:t>E. 7</w:t>
      </w:r>
    </w:p>
    <w:p>
      <w:r>
        <w:t>Le recourant A.________ soutient encore que l'accès au projet litigieux par les sapeurs-pompiers serait problématique en raison de la pente du chemin ******** (7% au lieu de 5 %) et de la présence d'un trottoir à cheval sur la surface d'appui et de manœuvre, qui serait du reste trop éloignée de la façade du bâtiment projeté. S'agissant de la question de l'accès par les sapeurs-pompiers, il convient de se référer à la norme et aux directives de protection incendie de l'Association des établissements cantonaux d'assurance incendie (ci-après: AEAI), qui sont applicables dans le canton de Vaud en vertu de l'art. 1 er du règlement du 30 janvier 2019 concernant les prescriptions sur la prévention des incendies (RPPI; BLV 963.11.2). Le Tribunal fédéral a précisé que ces textes sont directement applicables à titre de droit intercantonal et qu'ils priment notamment le droit cantonal qui leur serait contraire (TF 2C_301/2015 du 3 novembre 2015 consid. 2.2, citant les arrêts du TF 1C_303/2010 du 28 septembre 2010 consid. 2.1 et 1C_395/2013 du 21 janvier 2014 consid. 2.1) Aux termes de l'art. 44 de la norme AEAI, dans sa teneur en vigueur depuis le 1 er janvier 2015, les bâtiments et les autres ouvrages doivent toujours rester accessibles, afin que les sapeurs-pompiers puissent intervenir rapidement et efficacement. Le 18 mars 2015, la Coordination Suisse des Sapeurs-Pompiers (ci-après: CSSP) a adopté une " Directive concernant les accès, surfaces de manœuvre et d'appui pour les moyens d'intervention sapeur-pompiers " (ci-après: directive CSSP), qui règle les exigences de base concrètes concernant l'accessibilité des sapeurs-pompiers aux bâtiments et aux aménagements (cf. ch. 1, p. 4). Cette directive prévoit que les accès doivent conduire aussi près que nécessaire des bâtiments et des installations desservis afin de permettre un engagement efficace des sapeurs-pompiers. Les surfaces des parkings ne sont pas considérées comme accès ou comme surfaces de manœuvre et d'appui dans ce cadre et les véhicules parqués ne doivent pas entraver l'accès, la manœuvre et la mise en place des véhicules des services du feu (cf. ch. 3, p. 5). S'agissant comme ici de bâtiments de moyenne hauteur (jusqu'à 30 m), la directive CSSP prévoit que la surface de manœuvre et d'appui doit présenter une largeur de 6 m et une longueur de 11 m au moins (ce qui est le cas en l'espèce, selon les plans de protection incendie du 29 mai 2020 notamment) et que l'emplacement de l'engin de sauvetage et de travail aériens doit se trouver à une distance maximale de 6.50 m par rapport à la façade du bâtiment (ch. 9, p. 12). A noter cependant que des dérogations à la directive CSSP peuvent être autorisées – comme c'est le cas en l'espèce – par "l'autorité de protection incendie compétente en accord avec les sapeurs–pompiers concernés" (ch. 3 in fine, p. 5). Dans son rapport du 12 novembre 2020, le Service de Défense contre l'Incendie et de Secours (SDIS) Ouest-Lavaux confirme que l'efficience d'une intervention des sapeurs-pompiers peut être assurée: la surface d'appui peut se trouver à cheval sur le trottoir (la bordure de celui-ci ne devant pas dépasser 8 cm de haut); l'inclinaison du chemin ******** de 7 % (au lieu de 5%) ne péjore pas le positionnement ni l'engagement du véhicule de sauvetage, les véhicules standardisés dans le canton de Vaud permettent d'être engagés à plus du double de cette limite (soit au-delà de 10 %); et enfin, la distance de l'échelle-automobile à la façade dépasse à certains endroits les 6.5 m préconisés par la directive, mais, compte tenu du nombre de logements et de la hauteur du bâtiment projeté (moins de 15 m), l'éloignement de 8.5 m ne réduit pas les capacités d'engagement de l'échelle-automobile et au contraire, facilite dans le cas précis un accès direct en toiture, en précisant que les engins de la région lausannoise répondent à la norme 23-12 qui certifie leur engagement jusqu'à 12 m de la façade sans restriction de charge sur la nacelle. En résumé, l'accessibilité du projet aux sapeurs-pompiers doit ainsi être tenue pour suffisante. On relève pour le surplus que les aspects liés à la prévention incendie sont de compétence municipale et que le permis de construire est assorti de la condition que " les prescriptions de protection incendie [de l'AEAI 2015] sont applicables et doivent être respectées " (ch. 3 du permis de construire). Il appartiendra donc au constructeur de s'y conformer scrupuleusement et à la municipalité de veiller au respect de cette exigence.</w:t>
      </w:r>
    </w:p>
    <w:p>
      <w:r>
        <w:rPr>
          <w:b/>
        </w:rPr>
        <w:t>E. 8</w:t>
      </w:r>
    </w:p>
    <w:p>
      <w:r>
        <w:t>Le recourant ne semble pas sérieusement contester le nombre de onze places de parc prévues par le projet, mais affirme que l'emplacement de la place visiteur/handicapé à l'air libre, qui est située au sud de la parcelle, serait problématique du moment que l'entrée du bâtiment se trouverait au nord et que le chemin d'accès piétonnier présenterait une pente de 7 %. Or, le recourant perd de vue qu'il existe une autre place de parc visiteur/handicapé dans le parking souterrain, qui se trouve à proximité immédiate de l'ascenseur. Quoi qu'il en soit, le recourant ne précise pas quelle disposition réglementaire ou légale aurait été violée en l'occurrence. Faute de motivation suffisante, le grief est irrecevable.</w:t>
      </w:r>
    </w:p>
    <w:p>
      <w:r>
        <w:rPr>
          <w:b/>
        </w:rPr>
        <w:t>E. 9</w:t>
      </w:r>
    </w:p>
    <w:p>
      <w:r>
        <w:t>Vu ce qui précède, le recours doit être rejeté dans la mesure où il est recevable, ce qui conduit à la confirmation de la décision attaquée. Succombant, le recourant supportera un émolument judiciaire (art. 49 LPA-VD), ainsi qu'une indemnité à titre de dépens à verser à la Commune de Pully d'une part et à la constructrice d'autre part, qui ont toutes les deux agi par l'intermédiaire d'un avocat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