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AC.2020.0235 vom 20. Mai 2021</w:t>
      </w:r>
    </w:p>
    <w:p>
      <w:r>
        <w:t>VD Tribunal cantonal, 2021-05-20, FR</w:t>
      </w:r>
    </w:p>
    <w:p>
      <w:r>
        <w:rPr>
          <w:b/>
        </w:rPr>
        <w:t xml:space="preserve">Quelle: </w:t>
      </w:r>
      <w:r>
        <w:t>https://mcp.opencaselaw.ch/entscheid/vd_omni_AC.2020.0235</w:t>
      </w:r>
    </w:p>
    <w:p>
      <w:r>
        <w:t>FR: VD_OMNI AC.2020.0235 du 20 mai 2021</w:t>
      </w:r>
    </w:p>
    <w:p>
      <w:r>
        <w:t>IT: VD_OMNI AC.2020.0235 del 20 maggio 2021</w:t>
      </w:r>
    </w:p>
    <w:p>
      <w:pPr>
        <w:pStyle w:val="Heading2"/>
      </w:pPr>
      <w:r>
        <w:t>Regeste</w:t>
      </w:r>
    </w:p>
    <w:p>
      <w:r>
        <w:t>A.________, B.________/Municipalité de Pully, C.________, Direction générale des immeubles et du patrimoine | Recours contre la délivrance d'un permis de construire un bâtiment d'habitation de 8 logements après démolition d'une maison individuelle de note *4* . Rejet des griefs relatifs aux modifications apportées au projet (consid. 2), aux distances aux limites de propriété (consid. 3), à la hauteur des constructions (consid. 4), au calcul de l'indice d'occupation du sol (IOS; consid. 5), aux mouvements de terre (consid. 6), à la servitude de restriction au droit de bâtir (consid. 7), aux nuisances imputables au chantier (consid. 8), à l'accès/équipement (consid. 9), à l'esthétique (consid. 10) et à l'abattage de 10 arbres protégés mais non classés (consid. 11). Recours rejeté. Recours au TF rejeté (1C_382/2021 du 13 septembre 2022).</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notamment, dans la jurisprudence fédérale, ATF 137 II 40 consid. 2.3). Le propriétaire d'un bien-fonds directement voisin, qui a formé opposition lors de l'enquête publique, a en principe qualité pour recourir en tant qu'il critique notamment les dimensions ou les effets de la construction projetée. On peut admettre que les recourants sont dans cette situation. Il y a donc lieu d'entrer en matière sur le recours.</w:t>
      </w:r>
    </w:p>
    <w:p>
      <w:r>
        <w:rPr>
          <w:b/>
        </w:rPr>
        <w:t>E. 2</w:t>
      </w:r>
    </w:p>
    <w:p>
      <w:r>
        <w:t>Les recourants doutent que les nombreuses modifications apportées au projet après la fin de l’enquête publique puissent être considérées comme des modifications de minime d'importance susceptibles d'être dispensées d'enquête complémentaire. a) Selon l'art. 111 de la loi du 4 décembre 1985 sur l'aménagement du territoire et les constructions (LATC; BLV 700.11), la municipalité peut dispenser d'enquête publique les projets de minime importance. D'après l'art. 117 LATC, lorsqu'elle impose des modifications de minime importance, la municipalité peut délivrer un permis de construire subordonné à la condition que ces modifications soient apportées au projet. Conformément à la jurisprudence,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les modifications apportées à un projet après l'enquête publique, lorsque celles-ci tendent à supprimer ou corriger divers éléments critiqués par les opposants (cf. CDAP AC.2018.0433 du</w:t>
      </w:r>
    </w:p>
    <w:p>
      <w:r>
        <w:rPr>
          <w:b/>
        </w:rPr>
        <w:t>E. 6</w:t>
      </w:r>
    </w:p>
    <w:p>
      <w:r>
        <w:t>Les recourants affirment, sans plus amples indications, que le projet litigieux ne serait pas conforme à l'art. 49 RATC, intitulé "Mouvements de terre et murs de soutènement", prévoyant ce qui suit à ses alinéas 4 et 5: " 4 Les mouvements de terre, respectivement les murs de soutènement doivent respecter les règles suivantes: · Les mouvements de terre ne peuvent dépasser 1.50 m. de hauteur en dessus ou en dessous du terrain naturel, mesurée depuis le terrain naturel à l'endroit le plus défavorable. La pente maximum des talus ne peut excéder 60%. · La hauteur des murs de soutènement, mesurée depuis le niveau du terrain naturel à l'endroit le plus défavorable, ne peut dépasser 3.00 m. 5 Si la topographie des lieux l'exige, la Municipalité peut accorder une dérogation à ces dispositions." Or, comme cela ressort des plans de façades et des plans de coupes, le projet litigieux est en tous points conforme à cette disposition réglementaire. Lors de l'audience, les recourants ont prétendu que les murs de soutènement dépasseraient la hauteur de 1.5 mètres. Mais ils perdent de vue que les murs de soutènement peuvent atteindre une hauteur de 3 mètres. Quoi qu'il en soit, le mur longeant la limite de propriété Est ne dépasse pas la hauteur de 1.50 mètres. La constructrice a expliqué en cours d'audience que le contre-mur qui serait réalisé en limite Est de propriété avec la parcelle n° 3027 serait plus bas sur toute la longueur du mur existant sur la propriété des recourants. En aval de la parcelle litigieuse (près de la place de jeux), au niveau où le mur des recourants était interrompu, le mur projeté aurait une hauteur de 115 cm au-dessus du terrain naturel et serait donc visible depuis la propriété des recourants, conformément aux plans figurant au dossier. Pour le surplus, la cour de céans ne discerne pas quels risques ces aménagements présenteraient pour la propriété des recourants. Ce grief est donc mal fondé.</w:t>
      </w:r>
    </w:p>
    <w:p>
      <w:r>
        <w:rPr>
          <w:b/>
        </w:rPr>
        <w:t>E. 7</w:t>
      </w:r>
    </w:p>
    <w:p>
      <w:r>
        <w:t>Les recourants soutiennent que la servitude de restriction au droit de bâtir (n° ID.007-2002/005505) ferait obstacle à la construction telle que projetée. Or, selon la jurisprudence, les questions relatives au respect des servitudes de droit privé relèvent de la compétence du juge civil et il n'appartient ainsi ni à l'autorité intimée ni au Tribunal de céans d'interpréter le contrat de servitude de droit privé et d'en contrôler le respect. Du reste, lorsque la municipalité est saisie d'une demande de permis de construire pour un projet qui s'implante sur l'assiette d'une servitude, elle n'a pas à se préoccuper de l'accord du titulaire de la servitude (cf. notamment AC.2012.0076 du 30 janvier 2013 consid. 9; AC.2011.0231 du 10 janvier 2012 consid. 2a et les références citées; AC.2009.0086 du 20 août 2010 consid. 3b). Ce moyen doit donc être rejeté.</w:t>
      </w:r>
    </w:p>
    <w:p>
      <w:r>
        <w:rPr>
          <w:b/>
        </w:rPr>
        <w:t>E. 8</w:t>
      </w:r>
    </w:p>
    <w:p>
      <w:r>
        <w:t>S'agissant des nuisances imputables au chantier alléguées par les recourants, elles échappent à la compétence du tribunal de céans, conformément à la jurisprudence constante. En effet, la prévention contre des dommages liés à des travaux, soit par exemple le trafic lié à un chantier, relève directement de l'application des règles de l'art en matière de construction et n'a pas incidence sur la délivrance du permis de construire (arrêts AC.2018.0390 du 3 juin 2019 consid. 3a; AC.2015.0045 du 29 août 2016 consid. 1c et AC.2012.0388 du 28 novembre 2013 consid. 1e).</w:t>
      </w:r>
    </w:p>
    <w:p>
      <w:r>
        <w:rPr>
          <w:b/>
        </w:rPr>
        <w:t>E. 9</w:t>
      </w:r>
    </w:p>
    <w:p>
      <w:r>
        <w:t>Les recourants allèguent que la parcelle litigieuse – déjà construite – ne serait pas suffisamment équipée, dans la mesure où la sécurité de l'accès au réseau routier ne serait pas garanti pour les futurs habitants.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Selon l'art. 19 al. 1 LAT de la loi fédérale du 22 juin 1979 sur l’aménagement du territoire (LAT; RS 700),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ATF 1C 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 36/2010 précité consid. 4.1). Enfin, son utilisation ne doit pas provoquer de nuisances incompatibles avec les exigences de la loi fédérale sur la protection de l'environnement et de ses ordonnances d'exécution ( ATF 129 II 238 consid. 2 p. 241 et l'arrêt cité).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précité; AC.2008.0233 du 6 mai 2009; AC.2002.0013 du 10 décembre 2002). b) En l'occurrence, la voie d'accès privée qui permet de relier le parking projeté au domaine public (chemin ********) fait l'objet d'une servitude de passage, dont l'assiette présente une largeur d'au moins cinq mètres. Cette voie d'accès privée – qui est rectiligne et plate – débouche après une vingtaine de mètres de long en direction de l'Ouest sur le chemin ********. L'inspection locale a permis de constater qu'à ce débouché, la visibilité était bonne et que celle-ci serait encore améliorée, du côté droite (Nord), du fait du trottoir qui serait aménagé sur une bande de terrain de la parcelle n° 3026 longeant ledit chemin en lieu et place d'un mur de clôture existant. La sécurité de tous usagers y est donc garantie, d'autant que tout le quartier résidentiel ******** se trouve en "zone 30". Certes, le dernier tronçon du chemin ******** – d'une largeur de 5 m environ – présente une forte déclivité avant de déboucher sur le boulevard ********, où la visibilité n'est pas idéale. Mais la configuration des lieux permet à tout conducteur attentif et respectueux des règles usuelles de circulation de s'engager sans dangers excessifs sur le boulevard ********. D'ailleurs de nombreux habitants du quartier – qui connaissent les lieux – empruntent ce tronçon depuis de longues années sans risques avérés et il n'y pas raison que les futurs habitants ne puissent pas en faire autant. Les recourants n'ont pas en tout cas pas apporté la preuve que des accidents aient été recensés à cet endroit précis. Quant à la (faible) augmentation du trafic engendré par la création de onze places de parc, elle pourra aisément être absorbée par le réseau routier actuel, dont il n'est pas établi qu'il serait saturé. Compte tenu de l'ensemble de ces circonstances, force est d'admettre que  la parcelle litigieuse – qui est construite d'une villa avec garage et donc d'ores et déjà reliée au réseau routier – doit être considérée comme équipée au regard de l'art. 19 al. 1 LAT.</w:t>
      </w:r>
    </w:p>
    <w:p>
      <w:r>
        <w:rPr>
          <w:b/>
        </w:rPr>
        <w:t>E. 10</w:t>
      </w:r>
    </w:p>
    <w:p>
      <w:r>
        <w:t>Les recourants critiquent en outre le projet sous l’angle de l’esthétique et de l'intégration à l'environnement bâti, en se référant à une expertise privée, d'où il ressort que la "villa vouée à la démolition et à une reconstruction sous la forme d'un volume beaucoup plus important (chemin ******** 2), se trouve en bordure d'un ensemble cohérent, construit dans une période restreinte (entre 1905 et 1912), suivant une typologie commune (villa bourgeoise ou villa locative), avec une volumétrie similaire (trois ou quatre niveaux hors-sol sur un plan resserré, implantés au milieu d'une parcelle généreuse) et dans un style architectural identique (Heimatstil) (...). De fait, la construction d'un bâtiment de plusieurs étages à la volumétrie imposante sur la parcelle chemin ******** 2 nuirait à la perception générale de cet ensemble et apparaîtrait en totale rupture avec son environnement" (Etude historique de février 2020, p. 33/34). a) A titre préliminaire, il y a lieu de souligner que les expertises privées produites par les parties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une telle expertise doit toutefois être appréciée avec retenue; de jurisprudence constante, elle n'a pas la même valeur probante qu'une expertise judiciaire, ses résultats étant bien plutôt considérés comme de simples allégués des parties (cf. ATF 141 IV 369 consid. 6; arrêts AC.2017.0321 du 6 septembre 2018 consid. 7c/aa; AC.2016.0095 du 29 novembre 2016 consid. 1b/bb et la réf. cit.). b) aa) La loi fédérale sur l'aménagement du territoire (LAT) a pour but de veiller à une occupation du territoire propre à garantir un développement harmonieux de l'ensemble du pays.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bb) La loi vaudoise sur la protection de la nature, des monuments et des sites du 10 décembre 1969 (LPNMS; BLV 450.11)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LPNMS). Sont également protégés les terrains contenant ces objets et leurs abords (art. 46 al. 2 LPNMS) et aucune atteinte ne peut leur être portée qui en altère le caractère (art. 46 al. 3 LPNMS). Lorsqu'un danger imminent menace un tel objet, le département en charge des monuments, sites et archéologie prend les mesures nécessaires à sa sauvegarde (art. 47 LPNMS).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Autrement dit, les véritables mesures de protection prises en application de application de la LPNMS relèvent de la "protection spéciale": il s'agit de la mise à l'inventaire et le classement, mesures décidées non pas par a commune mais par le département cantonal compétent (cf. notamment arrêt AC.2020.0014 du 14 décembre 20202 consid. 1c). Le recensement architectural n'est pas prévu par la LPNMS, mais par l'art. 30 du règlement d'application de cette loi (RLPNMS; BLV 450.11.1), qui dispose que le département " établit le recensement architectural des constructions en collaboration avec les communes concernées, selon les directives publiées à cet effet ". Le recensement architectural, dont le processus est décrit dans une plaquette intitulée " Recensement architectural du canton de Vaud ", éditée en novembre 1995 par la section monuments historiques et archéologie du Service des bâtiments et rééditée en mai 2002,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(CDAP AC.2019.0130 du 16 janvier 2020 consid. 3a/bb). cc) La LPNMS ne régit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L'art. 86 LATC impose pour sa part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les principes posés par l'art. 86 LATC sont repris à l’art. 32 RCATC, qui prévoit ce qui suit: "Article 32 – Intégration 1 Conformément à l’art. 2 du présent règlement, la Municipalité peut prendre des dispositions exceptionnelles (notamment en application de l’art. 86 LATC) pour sauvegarder les qualités particulières d’un lieu ou pour tenir compte de situations acquises. […]". dd)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CDAP AC.2017.0226 du 5 février 2018 consid. 7b; AC.2016.0052 du 27 juillet 2016 consid. 2b). Dans ce cadre, l'autorité doit prendre garde à ce que la clause d'esthétique ne vide pas pratiquement de sa substance la réglementation de la zone en vigueur (ATF 115 Ia 114 consid. 3d p. 118;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TF 1C_452/2016 du 7 juin 2017 consid. 3.1.3).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1C_520/2012 du 30 juillet 2013 consid. 2.4; arrêt précité CDAP AC.2016.0052 consid. 2b).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AC.2018.0434 du 10 février 2020 consid. 3b et les références citées). c) En l'espèce, la villa vouée à démolition, de type "Landistil", a obtenu la note *4* au recensement architectural cantonal. Comme cela a été confirmé par l'expert M. G.________, mandaté par les recourants, lors de l'inspection locale, cette maison ne présente pas un intérêt historique ou architectural suffisant pour être conservée. Les recourants ne le prétendent d'ailleurs pas sérieusement. Cette villa se trouve certes en bordure d'un secteur (boulevard ********) composé de quelques villas de style "Heimatstil", dont la villa des recourants (parcelle n° 3027) et la villa locative "********" (parcelle 3030). Si ces deux bâtiments ont obtenu la note *3*, recensant les objets intéressants au niveau local qui bénéficient d'une "protection générale", ils n'ont cependant pas fait l'objet de mesures de protection spéciale selon la LPNMS (mise à l'inventaire ou classement) prises par le département cantonal compétent. L'importance de l'intérêt public à la protection du patrimoine bâti telle que mise en exergue par les recourants doit ainsi être relativisée, d'autant que le secteur du boulevard ******** – comme on le verra ci-après – ne présente pas un ensemble bâti homogène digne d'être préservé, mais est en réalité constitué de bâtiments hétérogènes, dont des immeubles locatifs modernes à l'architecture très banale (cf. Etude historique, p. 30). Sans critiquer sérieusement l'aspect architectural du bâtiment projeté, les recourants font valoir que le projet litigieux ne s'intégrerait pas, en raison de son caractère massif, à l'environnement bâti et il apparaîtrait en totale rupture avec celui-ci. Or, l'inspection locale a montré au contraire que les bâtisses alentour ne présentaient pas un caractère architectural homogène: le secteur était composé de bâtiments pour le moins hétéroclites du point de vue de leur volumétrie, de leur typologie, de leur style et de leur époque. Lors de la visite des lieux, le tribunal a pu constater qu'au nord de la parcelle litigieuse s'élevait un garage à toit plat composé de cinq boxes (parcelle n° 3740). Sur la même parcelle se trouvait un bâtiment locatif d'habitation datant des années 1950 et comportant trois niveaux, avec une toiture à quatre pans à faible pente. Sur la parcelle n° 3701, de l'autre côté du chemin ********, prenait place un bâtiment d'habitation de trois niveaux, plus les combles habitables, construit dans les années 1990. A l'ouest de la parcelle litigieuse, de l'autre côté du chemin ********, s'érigeait une villa sur un seul niveau, avec une toiture à deux pans, à l'architecture relativement banale (parcelle n° 3700); Il s'agissait d'une villa construite dans les années 1950 et qui avait fait l'objet d'une rénovation récemment. Au sud de la parcelle litigieuse, il est constaté la présence de la villa "********", qui a obtenu la note *3* au recensement architectural, constituée de quatre étages, plus des combles et des surcombles habitables (parcelle n° 3030). Il est en outre constaté au pied de cet immeuble l'existence d'un garage à toit plat, composé de trois boxes, qui ne s'harmonise pas avec le bâtiment principal. Sur la parcelle contiguë (n° 3455) se trouve une maison sur deux niveaux, plus les combles habitables, avec un toit à deux pans (orientation nord-sud), qui n'a fait l'objet d'aucun recensement architectural. Quant à la maison des recourants, elle était constituée d'un soubassement, ainsi que de deux étages, surmontés de combles habitables. Force est donc d'admettre que le projet litigieux ne porte nullement atteinte à l'aspect ou au caractère du quartier, qui ne forme pas une unité urbanistique homogène digne d'être sauvegardée. En effet, à l'exception de quelques villas "Heimatstil" alentour, la grande majorité des bâtiments environnants ne présentent que peu ou pas d'intérêt du point de vue architectural ou historique. La cour de céans a pu se rendre compte que le projet incriminé s'intégrerait au milieu bâti. On ne voit pas en quoi il apparaîtrait en "totale rupture avec son environnement." En cours d'audience, M. G.________, a relevé que le bâtiment projeté était, selon lui, trop massif et qu'un immeuble plus "élancé" pourrait mieux s'intégrer, ce qui est toutefois contredit par les constatations faites sur place. En effet, la volumétrie de la construction projetée serait comparable, voire moindre, par rapport à celle notamment du bâtiment locatif situé en limite Nord (parcelle n° 3740). De plus, il été observé que la villa locative "********" sise sur la parcelle contigüe n° 3030 culminait à plus de 25 m (cf. Etude historique, p. 19), soit une hauteur nettement supérieure à celle du bâtiment projeté (dont la hauteur est inférieure à 15 m). Le grief tiré d'une "surdensification" due à la prétendue volumétrie massive du projet guidé par la "recherche du profit" doit donc être rejeté. Le Tribunal fédéral a rappelé que l'exploitation maximale des possibilités de construire correspond à un intérêt public important, car la politique suisse de l'aménagement du territoire vise à orienter le développement de l'urbanisation vers l'intérieur du milieu bâti par une utilisation mesurée du sol et à créer un milieu bâti compact (cf. art. 1 al. 2 let. a bis et b LAT ; voir ATF 145 I 52 consid. 4.4 ; 142 II 100 consid. 4.6; TF 1C_233/2016 du 20 janvier 2017 consid. 5.3). En l'espèce, c'est à juste titre que l'autorité intimée, qui a procédé à une pesée des intérêts en présence (conformément à l'art. 3 OAT), a retenu que l'intérêt public à densifier était prépondérant par rapport à la préservation du patrimoine architectural, étant précisé qu'aucun bâtiment situé à proximité du projet en cause ne bénéficie d'une protection spécifique (mise à l'inventaire ou classement au sens de la LPNMS). Du reste, la DGIP, autorité cantonale spécialisée en matière de protection du patrimoine, n'a pas formulé de remarques dans le cadre de la synthèse CAMAC. Il en va de même de l'intérêt public au maintien du jardin actuel, du moment que l'autorité communale de planification a classé le terrain en "zone d'habitation à moyenne densité", qui est destinée à la construction de bâtiments voués au logement et aux activités compatibles avec le logement telles que des bureaux, établissements publics, institutions scolaires et éducatives, établissements médico-sociaux, artisanat, commerces etc. (art. 36 RCATC). On ne saurait donc exiger la réduction de la surface bâtie du projet – qui est en tous points conforme à la réglementation communale révisée d'ailleurs très récemment (2017) – pour des motifs esthétiques, à moins que cela ne soit justifié par des intérêts publics prépondérants comme la préservation de bâtiments ou d'ensembles de bâtiments remarquables bénéficiant de mesures de protection des monuments historiques (cf. art. 1 al. 1 et al. 2 let. a bis et art. 3 al. 2 let. a bis LAT), ce qui n'est manifestement pas le cas en l'espèce. Tout bien considéré, la municipalité n'a pas commis un abus ou un excès de son large pouvoir d'appréciation en considérant que le projet litigieux ne violait pas l'art. 86 LATC.</w:t>
      </w:r>
    </w:p>
    <w:p>
      <w:r>
        <w:rPr>
          <w:b/>
        </w:rPr>
        <w:t>E. 11</w:t>
      </w:r>
    </w:p>
    <w:p>
      <w:r>
        <w:t>Les recourants s'opposent à l'abattage des dix arbres qu'implique le projet litigieux et estiment que les mesures de compensation prévues, soit l'implantation de trois nouveaux arbres, seraient insuffisantes. Après l'échéance du délai de recours, soit en cours d'audience d'inspection locale, les recourants ont produit un rapport d'expertise biologique privé établi le 18 mars 2021 par le bureau d'études en environnement H.________ (ci-après: Rapport d'expertise H.________). a) L'art. 5 let. b LPNMS dispose que sont protégés les arbres que désignent les communes par voie de classement ou de règlement communal, et qui doivent être maintenus soit en raison de leur valeur esthétique, soit en raison des fonctions biologiques qu’ils assurent. L’autorisation d’abattre des arbres protégés est réglée à l’art. 6 LPNMS, ainsi qu’à l’art. 15 du règlement d’application de la LPNMS du 22 mars 1989 (RLPNMS; BLV 450.11.1). Interprétant ces dispositions, la jurisprudence retient en substance ce qui suit: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AC.2015.0082 du 29 septembre 2015 consid. 6; AC.2012.0249 du 26 juillet 2013 consid. 10; AC.2012.0100 du 18 octobre 2012 consid. 2).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(AC.2012.0300 du 12 juin 2013 consid. 6c ; AC.2012.0111 du 20 septembre 2012 consid. 2c et les références citées). L'arborisation d'une parcelle constructible doit être considérée comme un élément qui n'est pas nécessairement permanent mais qui est au contraire susceptible d'évolution, ce qui permet le cas échéant de le remodeler en procédant à de nouvelles plantations. b) La Commune de Pully dispose d’un Règlement sur la protection des arbres et Plan de classement des arbres (ci-après: le règlement communal sur les arbres) approuvé par le Département de la sécurité et de l’environnement le 26 juillet 2004. Ce dernier prévoit à son art. 3 al. 2 ce qui suit: "Sont protégés: a) tous les arbres dont le diamètre est supérieur à 30 cm. b) tous les arbres repérés sur le plan de classement. Le diamètre se mesure à 130 cm au-dessus du sol. Les diamètres de troncs multiples sur un même pied sont additionnés. Les dispositions de la législation forestière sont réservées." L'art. 46 al. 3 RCATC prévoit quant à lui ce qui suit: "Lors de toute nouvelle construction, les propriétaires sont tenus de planter sur leurs fonds, dans la mesure où cette exigence n'est pas déjà remplie, un arbre de taille majeure et d'essence appropriée aux lieux, par 500 m 2 de parcelle. Le choix des essences se fera de préférence parmi les espèces indigènes. (...)" c) En l'espèce, le projet implique l'abattage de dix arbres protégés au sens de l'art. 3 al. 2 let. a du règlement communal sur les arbres. Selon le permis de construire délivré le 3 juillet 2020, l'autorisation d'abattage est assortie de l'obligation de procéder à une arborisation compensatoire, au moins trois arbres d'ornement de taille majeure et d'essence indigène devant être plantés en pleine terre. A la demande de la municipalité, la constructrice a produit le plan 1804 EXE.1 du 27 mai 2020, prévoyant qu'outre ces trois arbres, plusieurs dizaines d'arbustes d'essence indigène seraient plantés autour de la construction projetée, ainsi que sur le toit plat. L'abattage des dix arbres en cause est destiné à permettre une utilisation rationnelle du terrain à bâtir. Il a pu être constaté à l'inspection locale que les dix arbres en question n'avaient pas de caractéristiques remarquables du point de vue esthétique ou biologique les rendant spécialement dignes d'intérêt ou de protection. En cours d'audience, l'expert H.________, mandaté par les recourants, a certes relevé la présence de deux pins, datant d'une centaine d'années, qui, selon lui, mériteraient d'être conservés. Il n'est pas contesté que ces pins bénéficient de la protection générale en raison du diamètre de leur tronc (70 et 80 cm) au sens de l'art. 3 al. 2 let. a du règlement communal sur les arbres. En revanche, ni l'expert ni les recourants ne prétendent – à juste titre – que ces pins auraient dû faire l'objet d'un classement individuel en raison de leur haute valeur historique, botanique ou paysagère au sens de l'art. 7 du règlement communal sur les arbres, prévoyant qu'en principe, les arbres classés ne peuvent être abattus. Du reste, comme cela a été relevé en audience, ces pins ne sauraient être considérés comme des exemplaires rares ou uniques, dès lors que le quartier compte d'autres pins similaires. Certes, il résulte du rapport H.________ que la parcelle n° 3026, qui comprend dix arbres majeurs (protégés, mais non classés), présente un intérêt non négligeable du point de vue biologique, dans la mesure où le manque d'entretien du jardin a permis à la végétation, composée essentiellement de broussailles et de buissons, de se développer pour servir d'habitat à la petite faune. A juste titre, l'expert H.________ ne prétend pas que cette végétation serait protégée par la réglementation communale ou cantonale ou encore fédérale, d'autant moins que, comme indiqué dans son rapport d'expertise (p. 2), cette végétation comprend des plantes figurant sur la liste noire des espèces exotiques envahissantes en Suisse (laurelles et ronces d'Arménie). Or, ces plantes portent atteinte à la biodiversité ou à la santé, dont il faut empêcher la propagation ( www.bafu.admin.ch/bafu/fr/home/themes/biodiversité ). Quant aux mesures de compensation, elles vont bien au-delà de ce qui est exigé par l'art. 46 al. 3 RCATC, prévoyant la plantation d'un arbre de taille majeure et d'essence indigène par 500 m 2 , soit en l'occurrence trois arbres compte tenu de la surface du terrain (1'304 m 2 ). En effet, il résulte des plans figurant au dossier qu'outre trois arbres de taille majeure et d'essence indigène, plusieurs dizaines d'arbustes supplémentaires d'essence indigène seront plantés sur la parcelle, étant précisé que la toiture plate sera végétalisée, ce qui permettra au bâtiment projeté de s'intégrer encore davantage dans le quartier que l'on peut qualifier de verdoyant. En cours d'audience, l'expert H.________ a déclaré que si la plantation de trois arbres majeurs et d'essence indigène au titre de mesure de compensation n'était, à ses yeux, pas suffisante, il a cependant qualifié d'"excellente" la plantation de plusieurs dizaines d'arbustes supplémentaires prévus notamment autour du bâtiment projeté, selon le plan des aménagements extérieurs 1804 EXE.1 du 27 mai 2020 (qui fait partie intégrante du permis de construire). M. H.________ a encore précisé que la constructrice avait fait un effort important au niveau de la végétation pour l'intégration du bâtiment. Compte tenu de tous ces éléments, l'intérêt public à la conservation des arbres existants doit céder le pas à l'intérêt privé de la constructrice à une utilisation rationnelle du terrain à bâtir, qui est classé en zone à moyenne densité, étant rappelé que l'exploitation maximale des possibilités de construire correspond à un intérêt public important. Contrairement à ce que laissent entendre les recourants, les possibilités de bâtir seraient excessivement réduites si les arbres existants devaient être maintenus. De même, la création d'un trottoir sur la bande de terrain longeant sa limite Ouest – qui améliore la sécurité des piétons de tout le quartier –  serait compromise. A noter que le projet litigieux, situé dans un quartier bien arboré, n'aura qu'un faible impact paysager. En effet, le caractère verdoyant du secteur sera préservé grâce à une arborisation compensatoire importante et de qualité. Dans ces conditions, c'est à bon droit que la municipalité a, au terme d'une pesée des intérêts, favorisé la réalisation de la construction prévue au détriment des dix arbres en cause. Le grief est ainsi mal fondé.</w:t>
      </w:r>
    </w:p>
    <w:p>
      <w:r>
        <w:rPr>
          <w:b/>
        </w:rPr>
        <w:t>E. 12</w:t>
      </w:r>
    </w:p>
    <w:p>
      <w:r>
        <w:t>Vu ce qui précède, le recours doit être rejeté dans la mesure où il est recevable, ce qui conduit à la confirmation de la décision attaquée. Succombant, les recourants supporteront un émolument judiciaire (art. 49 LPA-VD), ainsi qu'une indemnité à titre de dépens à verser à la Commune de Pully d'une part et à la constructrice d'autre part, qui ont toutes les deux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