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AC.2020.0215 vom 9. Dezember 2020</w:t>
      </w:r>
    </w:p>
    <w:p>
      <w:r>
        <w:t>VD Tribunal cantonal, 2020-12-09, FR</w:t>
      </w:r>
    </w:p>
    <w:p>
      <w:r>
        <w:rPr>
          <w:b/>
        </w:rPr>
        <w:t xml:space="preserve">Quelle: </w:t>
      </w:r>
      <w:r>
        <w:t>https://mcp.opencaselaw.ch/entscheid/vd_omni_AC.2020.0215</w:t>
      </w:r>
    </w:p>
    <w:p>
      <w:r>
        <w:t>FR: VD_OMNI AC.2020.0215 du 9 décembre 2020</w:t>
      </w:r>
    </w:p>
    <w:p>
      <w:r>
        <w:t>IT: VD_OMNI AC.2020.0215 del 9 dicembre 2020</w:t>
      </w:r>
    </w:p>
    <w:p>
      <w:pPr>
        <w:pStyle w:val="Heading2"/>
      </w:pPr>
      <w:r>
        <w:t>Regeste</w:t>
      </w:r>
    </w:p>
    <w:p>
      <w:r>
        <w:t>A.________/Direction générale du territoire et du logement, Direction générale de l'environnement DGE-DIRNA, Municipalité de Bex | La recourante, propriétaire de parcelles situées en partie dans le périmètre de l'inventaire fédéral des prairies sèches, obtient la régularisation d'une série d'aménagements qu'elle avait réalisés au fil des ans sans disposer des autorisations nécessaires, à l'exception d'un appentis dont la démolition est requise du fait que cet ouvrage serait situé dans le périmètre de l'inventaire et porterait ainsi atteinte à un biotope d'importance nationale. La décision entreprise résulte d'une confusion entre deux bâtiments, qui a conduit la DGTL à retenir, à tort, que l'appentis se trouvait à l'intérieur du périmètre de l'inventaire. Après le dépôt du recours, la DGTL a reconnu son erreur sans pour autant rapporter sa décision, alors que l'appentis aurait dû être régularisé au même titre que les autres aménagements litigieux. Admission du recours et réforme de la décision attaquée.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al. 1 OPPPS). Ces objets doivent être conservés intacts (art. 6 al. 1 OPPPS). Les buts de la protection consistent notamment en la conservation et le développement de la flore et de la faune spécifiques ainsi que des éléments écologiques indispensables à leur existence (art. 6 al. 1 let. a OPPPS), en la conservation des particularités, de la structure et de la dynamique propres aux prairies sèches (let. b), et en une agriculture et une sylviculture respectant les principes du développement durable (let. c). b) L’art. 22 al. 1 LAT pose le principe selon lequel aucune construction ou installation ne peut être créée ou transformée sans autorisation de l'autorité compétente. L'autorisation est délivrée si la construction ou l'installation est conforme à l'affectation de la zone (art. 22 al. 2 let. a LAT) et si le terrain est équipé (let. b). En droit vaudois, la question de l'assujettissement des constructions à autorisation est régie par l'art. 103 de la loi du 4 décembre 1985 sur l’aménagement du territoire et les constructions (LATC; BLV 700.11), qui prévoit qu'aucun travail de construction ou de démolition, en surface ou en sous-sol, modifiant de façon sensible la configuration, l'apparence ou l'affectation d'un terrain ou d'un bâtiment, ne peut être exécuté avant d'avoir été autorisé. La compétence pour autoriser une installation ou une construction en zone agricole appartient à l'autorité cantonale (cf. art. 25 al. 2 LAT, 81 et 120 LATC). Lorsqu’une construction a été réalisée ou modifiée sans autorisation, alors que cette formalité était imposée, l'art. 105 al. 1 LATC dispose que la municipalité, ou à son défaut le département, est en droit de faire supprimer ou modifier, aux frais du propriétaire, tous travaux qui ne sont pas conformes aux prescriptions légales et réglementaires. La jurisprudence rendue à ce propos retient que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TF 1C_114/2018 du 21 juin 2019 consid. 5.1.2) c) La recourante est propriétaire de quatre parcelles classées, pour l'essentiel, en zone de montagne selon le plan d’extension de la commune de Bex. Ces biens-fonds sont par ailleurs situés en partie dans le périmètre de l'inventaire des prairies sèches (objet n° 6164, Les Posses). Du point de vue des éléments construits, le bâtiment ECA n° 2073 présent sur la parcelle n° 3879 entre dans le périmètre de l’inventaire, ce qui n'est pas le cas des bâtiments ECA n° 2062 présent sur la parcelle n° 3879 et ECA n° 2063 présent sur la parcelle n° 3856, qui se trouvent à la limite de ce périmètre et en sont ainsi exclus. L'autorité intimée fonde sa décision de remise en état sur le préavis négatif de la DGE-BIODIV et, partant, sur le constat selon lequel l’appentis au nord du bâtiment ECA n° 2063 a été réalisé à l'intérieur du périmètre de l'inventaire fédéral, en violation de l’objectif de protection de la prairie sèche des Posses résultant de l’art. 6 al. 1 OPPPS. Cette situation nécessiterait la démolition de l’aménagement en question, compte tenu de l’atteinte portée à un biotope d'importance nationale devant être conservé intact. La lecture des préavis des autorités cantonales, de la décision attaquée et des réponses sur le recours montre qu’il y a eu une confusion sur les numéros de parcelles et les numéros de bâtiments érigés sur celles-ci, ayant abouti à une constatation erronée des faits pertinents et à une mauvaise application du droit. Le courrier du 15 août 2019 de l'autorité intimée critique en effet l’aménagement de " l’appentis au nord du bâtiment ECA n° 2063 ", alors que la décision entreprise ordonne le démontage de " l’appentis au nord du bâtiment ECA n° 2073 ". Après le dépôt du recours, l’autorité intimée a reconnu que sa décision comportait une erreur en ce sens que " l’appentis sis au nord du bâtiment ECA n° 2063 e st sur la parcelle n° 3856 et non 3879 ". Elle n'a pas pour autant réexaminé la situation de l'appentis litigieux par rapport au périmètre de l'inventaire des prairies sèches et la question de l’éventuelle atteinte portée à l'objet n° 6164. Or l’appentis dont la démolition est requise est en réalité accolé à la partie nord du bâtiment ECA n° 2063, lequel est situé sur la parcelle n° 3856 et en dehors du périmètre de l'inventaire fédéral. Le bâtiment ECA n° 2073 situé sur la parcelle n° 3879 et à l'intérieur de ce même périmètre n’a quant à lui subi aucune modification. La juge instructrice a interpellé l’autorité intimée au sujet de la confusion dont est empreinte sa décision. Dite autorité a reconnu qu’elle avait commis une erreur, dans une écriture du 30 septembre 2020. Elle n’a toutefois pas jugé utile de rapporter sa décision, mais s’est à nouveau référée au préavis négatif de la DGE-BIODIV pour justifier son ordre de remise en état, ce que la cour ne peut que regretter. Il suit de ce qui précède que l’appentis litigieux n’a pas été construit dans un biotope d’importance nationale et que sa démolition ne se justifie pas en vue de conserver intacte la prairie des Posses. Rien n’indique par ailleurs que cet ouvrage ne serait pas conforme aux autres prescriptions matérielles applicables. L’appentis aurait donc dû être autorisé a posteriori par l’autorité intimée, au même titre que les autres aménagements que la recourante a réalisés sans droit sur sa propriété, notamment l'appentis au sud du bâtiment ECA n° 2062 sur la parcelle n° 3879 qui se trouve en bordure, mais à l'extérieur, du périmètre de la prairie sèche des Posses (objet n° 6164) tout comme l'appentis objet de la présente cause.</w:t>
      </w:r>
    </w:p>
    <w:p>
      <w:r>
        <w:rPr>
          <w:b/>
        </w:rPr>
        <w:t>E. 3</w:t>
      </w:r>
    </w:p>
    <w:p>
      <w:r>
        <w:t>Le recours doit donc être admis et la décision attaquée réformée en ce sens que l'appentis accolé au bâtiment ECA n° 2063 peut être régularisé, un délai au 30 novembre 2021 étant imparti à la recourante pour déposer une demande de permis de construire en ce sens. Vu l’issue du litige, il sera statué sans frais (art. 49 al. 1 et 52 al. 1 LPA-VD). Il n’y a pas lieu d’allouer de dépens, la recourante ayant agi sans le concours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