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AC.2020.0204 vom 31. August 2021</w:t>
      </w:r>
    </w:p>
    <w:p>
      <w:r>
        <w:t>VD Tribunal cantonal, 2021-08-31, FR</w:t>
      </w:r>
    </w:p>
    <w:p>
      <w:r>
        <w:rPr>
          <w:b/>
        </w:rPr>
        <w:t xml:space="preserve">Quelle: </w:t>
      </w:r>
      <w:r>
        <w:t>https://mcp.opencaselaw.ch/entscheid/vd_omni_AC.2020.0204</w:t>
      </w:r>
    </w:p>
    <w:p>
      <w:r>
        <w:t>FR: VD_OMNI AC.2020.0204 du 31 août 2021</w:t>
      </w:r>
    </w:p>
    <w:p>
      <w:r>
        <w:t>IT: VD_OMNI AC.2020.0204 del 31 agosto 2021</w:t>
      </w:r>
    </w:p>
    <w:p>
      <w:pPr>
        <w:pStyle w:val="Heading2"/>
      </w:pPr>
      <w:r>
        <w:t>Regeste</w:t>
      </w:r>
    </w:p>
    <w:p>
      <w:r>
        <w:t>A.________, B.________, C.________,D.________, E.________, F.________, G.________/Municipalité de Renens, H.________, Direction générale des immeubles et du patrimoine | Recours contre le permis de démolir une villa ancienne et de construire un bâtiment de 13 logements. La municipalité a tenu compte à raison du bonus Minergie dans le calcul de la surface bâtie maximale. Au vu de la couche de terre prévue sur sa toiture, le garage est un ouvrage enterré, exclu de ce calcul (c. 10). En exigeant une implantation "parallèle à l'alignement", le règlement se limite à imposer que la façade en front de rue soit parallèle à celle-ci, mais ne prescrit pas l'orientation de l'axe principal de l'immeuble (c. 11). La municipalité n'a pas abusé de sa marge d'appréciation en autorisant la démolition de la villa locative du début du XXe siècle, en note 4, quand bien même elle appartient à une succession de villas de typologie similaire et une révision du recensement de la commune est entamée (c. 14). Notion de "longueur de façade" déterminante pour fixer la distance à la limite. Exposé de la jurisprudence, dont il n'y a pas lieu de s'écarter ici, retenant qu'une telle longueur doit être déterminée par la projection orthogonale de toutes les façades. Recours admis sur ce point, la longueur de façade ayant été sous-estimée et la distance à la limite n'étant pas respectée (c. 7). Il n'est pas établi en l'état que le camion-pompier puisse stationner à proximité suffisante du bâtiment. Recours également admis sous cet angle (c. 8).</w:t>
      </w:r>
    </w:p>
    <w:p>
      <w:pPr>
        <w:pStyle w:val="Heading2"/>
      </w:pPr>
      <w:r>
        <w:t>Erwägungen</w:t>
      </w:r>
    </w:p>
    <w:p>
      <w:r>
        <w:rPr>
          <w:b/>
        </w:rPr>
        <w:t>E. 1</w:t>
      </w:r>
    </w:p>
    <w:p>
      <w:r>
        <w:t>Déposés dans le délai de trente jours fixé par l'art. 95 de la loi vaudoise du 28 octobre 2008 sur la procédure administrative (LPA-VD; BLV 173.36), les recours sont intervenus en temps utile. Ils respectent au surplus les conditions formelles énoncées notamment à l'art. 79 LPA-VD (applicable par renvoi de l'art. 99 LPA-VD). Enfin, les recourants disposent de la qualité pour recourir en tant que voisins proches de la parcelle litigieuse. Il y a donc lieu d'entrer en matière.</w:t>
      </w:r>
    </w:p>
    <w:p>
      <w:r>
        <w:rPr>
          <w:b/>
        </w:rPr>
        <w:t>E. 2</w:t>
      </w:r>
    </w:p>
    <w:p>
      <w:r>
        <w:t>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TF 2C_91/2020 du 15 juillet 2020 consid. 4.1 et les références citées). b) En l'espèce, le dossier est suffisamment complet pour permettre à la Cour de céans de statuer en toute connaissance de cause. Le relevé requis par les recourants A.________ et B.________ ne conduirait pas une appréciation juridique différente, pour les motifs exposés ci-après. Il apparaît donc superflu d'ordonner cette mesure d'instruction supplémentaire, sans qu'il n'en résulte de violation du droit d'être entendus des susnommés.</w:t>
      </w:r>
    </w:p>
    <w:p>
      <w:r>
        <w:rPr>
          <w:b/>
        </w:rPr>
        <w:t>E. 3</w:t>
      </w:r>
    </w:p>
    <w:p>
      <w:r>
        <w:t>Les recourants A.________ et B.________ se plaignent, en substance, du fait que les signatures apposées sur les plans ne désigneraient pas clairement leurs auteurs et ne suffiraient pas à démontrer le respect des règles sur ce point. a) Selon l'art. 73 al. 1 du règlement vaudois du 19 septembre 1986 d'application de la loi du 4 décembre 1985 sur l'aménagement du territoire et les constructions (RLATC; BLV 700.11.1), les plans, le questionnaire général et les pièces annexes sont signés, notamment, par le propriétaire du fonds et, le cas échéant, par le promettant-acquéreur et le maître de l'ouvrage. b) En l'occurrence, les pièces énumérées par l'art. 73 al. 1 RLATC devaient être signées par les représentants de la société H.________ SA, à la fois propriétaire et maître d'ouvrage. A teneur de son inscription au Registre du commerce, dite société est engagée par la signature collective à deux de ses administrateurs. Il découle du dossier produit avec la réponse de l'autorité intimée que les pièces précitées ont été signées (pour une partie après l'enquête publique) par deux administrateurs, à savoir M.________ et N.________. En revanche, les nouveaux plans du 10 juin 2020 ne portaient la signature que d'un seul administrateur. Ce vice a toutefois été corrigé pendant la procédure – par la signature de l'avocat de la constructrice – de sorte que le grief est devenu sans objet.</w:t>
      </w:r>
    </w:p>
    <w:p>
      <w:r>
        <w:rPr>
          <w:b/>
        </w:rPr>
        <w:t>E. 3.1</w:t>
      </w:r>
    </w:p>
    <w:p>
      <w:r>
        <w:t>et les références citées). Selon la norme VSS 40 281 dans son édition de 2019 (auparavant numérotée VSS 640 281), il est recommandé d'offrir une case de stationnement par 100 m 2 de surface brute de plancher ou une case par logement (ch. 9.1). A ces cases de stationnement pour les résidents, il est nécessaire d'ajouter 10% de cases en plus pour les visiteurs, ces chiffres constituant des valeurs indicatives et correspondant en règle générale à l’offre nécessaire, indépendamment du type de localisation (ch. 9.1 intitulé "Cas normal"). Ce n'est qu'à la fin des calculs, après avoir fait tous les totaux, que doit intervenir l'arrondissement du nombre de cases de stationnement à l'entier supérieur (ch. 9.3). Le critère donnant le plus grand nombre de cases est déterminant (cf. CDAP AC.2020.0165 du 30 juin 2021 consid. 9a; AC.2020.0124 du 13 avril 2021 consid. 8b; AC.2019.0358 du 17 mars 2021 consid. 6a/aa et les références citées). La norme VSS 40 281 prévoit de simples valeurs indicatives. Il peut être judicieux de s'écarter de ces valeurs afin de tenir compte de conditions locales particulières ou de formes spéciales de logement (p. ex. habitat sans voiture) (ch. 9.4), en particulier lorsque l'habitation se situe en ville et à proximité d'une desserte de transports publics (cf. CDAP AC.2020.0071 du 22 juin 2021 consid. 7c/bb; AC.2020.0115 du 27 janvier 2021 consid. 2c/aa; AC.2018.0157 du 21 mars 2019 consid. 8a; AC.2017.0031 du 4 mai 2018 consid. 5c et les références citées). b) En l'espèce, le projet prévoit 11 places pour les habitants et une place pour les visiteurs, à savoir 12 au total. aa) La municipalité s'est fondée en première ligne sur la norme VSS. Elle a ainsi calculé une place par appartement, soit 13 places (la SBPU, donnant un résultat inférieur, n'étant pas prise en considération), plus 10% pour les visiteurs. Elle a ensuite réduit ce nombre de 20%, compte tenu de la proximité d'une desserte en transports publics. Elle considère ainsi qu'en présence de 13 appartements, 11 places sont nécessaires (13 x 80% = 10,4 arrondi à 11), ainsi qu'une place supplémentaire réservée aux visiteurs, soit les 12 places prévues par le projet. bb) Les recourants C.________ et consorts se basent également sur la mesure définie par la norme VSS pour les occupants, soit 13 places, mais estiment que ce nombre doit être augmenté de 15% pour les visiteurs, conformément à l'alinéa 2 de l'art. 141 bis RPE, à savoir de deux places supplémentaires, soit 15 au total. Ils affirment en outre que la municipalité admettrait à tort une baisse de 20% au vu la proximité des transports publics. D'une part, l'art. 141 bis RPE ne permettrait pas cette possibilité et, d'autre part, aucun intérêt public particulier ne justifierait une diminution aussi drastique. Sur ce dernier point, les recourants affirment qu'au vu de la typologie des appartements (3,5 et 4,5 pièces principalement), la construction projetée ne serait a priori pas destinée à de jeunes actifs pouvant avoir fait le choix de la mobilité douce, mais à des familles comptant encore majoritairement un véhicule privé, voire deux. A cela s'ajouterait que l'implantation de l'ensemble des places dans le garage souterrain, non pas à l'extérieur, rendrait malaisés les mouvements de véhicules. Ces éléments entraîneraient ainsi des problèmes de stationnement sauvage avec les risques en découlant, la desserte en places de parc sur le domaine public étant déjà insuffisante dans le quartier. cc) Il n'est pas contesté que le quartier est très bien desservi par les transports publics, par le bus, la gare et le métro à moins de dix minutes à pied; il sera aussi tout proche de la ligne de tram à venir d’ici quelques années. Le choix de restreindre le nombre des places de parc destinées aux véhicules individuels répond en outre à la politique de mobilité de la commune, visant à promouvoir activement transports publics et mobilité douce, en accord avec ses objectifs de développement durable. La municipalité n'a dès lors pas abusé de sa marge d'appréciation en s'écartant des valeurs indicatives de la norme VSS, de même que de l'alinéa 2 de l'art. 141 bis RPE, en ce qui concerne le nombre de places tant pour les habitants (réduites de 13 à 11) que pour les visiteurs (réduites de 2 à 1). 13. Les recourants A.________ et B.________, C.________ et consorts considèrent en outre que le couvert à vélos ne respecterait pas la distance nécessaire à la rue des Alpes. a) A teneur de l'art. 39 LRou, des aménagements extérieurs tels que mur, clôture, haie ou plantation de nature à nuire à la sécurité du trafic, notamment par une diminution de la visibilité, ne peuvent être créés sans autorisation sur les fonds riverains de la route. L'art. 8 RLRou prévoit quant à lui ce qui suit: "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 b) En l'occurrence, le permis de construire impose à titre de charge la création d'un abri destiné à 10 vélos, à intégrer aux aménagements extérieurs à proximité de l'entrée (charge 9.3). La constructrice a effectivement prévu un tel ouvrage, couvert, le long du débouché du garage souterrain sur la voie publique, à une distance d'environ 1 m de celle-ci. Cet ouvrage est ainsi implanté au-delà de la limite des constructions fixée à 7 m de l'axe de la rue des Alpes (cf. consid. 11a supra). La question de sa licéité peut toutefois rester indécise, dès lors que la municipalité et la constructrice ont renoncé au couvert proprement dit à l'issue de l'audience. Seuls de simples supports pour cycles seront ainsi aménagés. Ils équivalent dans le cas le plus défavorable pour la constructrice à un aménagement extérieur au sens de l'art. 39 LRou, pouvant être autorisé à condition d'une part de ne pas diminuer la visibilité ni gêner la circulation et l'entretien ni compromettre la réalisation des corrections prévues de la route (art. 8 al. 1 RLRou), et d'autre part de ne pas dépasser 60 cm lorsque la visibilité doit être maintenue, 2 m dans les autres cas. Or, l'on ne voit pas en quoi la sécurité des cyclistes, des piétons ou des automobilistes circulant sur le débouché ou sur la rue des Alpes ne serait pas assurée à l'emplacement choisi: les supports sont certes situés à proximité de la rue des Alpes, mais la visibilité est largement suffisante, étant encore rappelé que ladite rue bénéficie non seulement d'une limitation de vitesse à 30 km/h mais encore de mesures de modération du trafic sous la forme d'obstacles mis au croisement. Les supports pour cycles doivent ainsi être admis.</w:t>
      </w:r>
    </w:p>
    <w:p>
      <w:r>
        <w:rPr>
          <w:b/>
        </w:rPr>
        <w:t>E. 4</w:t>
      </w:r>
    </w:p>
    <w:p>
      <w:r>
        <w:t>Les recourants A.________ et B.________ dénoncent le refus de la municipalité de poser des gabarits. a) Selon l'art. 108 al. 3 de la loi vaudoise du 4 décembre 1985 sur l'aménagement du territoire et les constructions (LATC; BLV 700.11), la municipalité, le cas échéant le département, peut exiger le profilement ou des montages photographiques de la construction projetée, aux frais de la personne sollicitant le permis. A Renens, l'art. 112 RPE dispose que si la municipalité le juge utile, elle peut exiger du propriétaire le profilement de la construction au moyen de gabarits. b) En l'occurrence, comme l'expose la décision attaquée, le projet est prévu dans un environnement largement bâti, à proximité de plusieurs bâtiments comptant le même nombre d'étages que le bâtiment projeté. De surcroît, les plans du projet représentent les gabarits des immeubles avoisinants. Dans ces conditions, la municipalité n'a pas abusé de sa marge d'appréciation en considérant que les plans permettaient à suffisance de se figurer le volume et la hauteur de la construction prévue, sans qu'il ne soit nécessaire d'exiger la pose de gabarits.</w:t>
      </w:r>
    </w:p>
    <w:p>
      <w:r>
        <w:rPr>
          <w:b/>
        </w:rPr>
        <w:t>E. 5</w:t>
      </w:r>
    </w:p>
    <w:p>
      <w:r>
        <w:t>Les recourants soutiennent que les plans autorisés du 10 juin 2020, établis après l'enquête publique, devaient être mis à l'enquête complémentaire. a) aa) La procédure de mise à l’enquête publique, prévue à l'art. 109 LATC, possède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(cf. CDAP AC.2020.0079 du 14 avril 2021 consid. 2a; AC.2017.0448 du 2 décembre 2019 consid. 4a et les références citées). bb)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Elles sont de minime importance si elles portent sur des points de détail ou secondaires. En particulier lorsqu'elles vont dans le sens des griefs des opposants, de telles modifications ne nécessitent pas une mise à l'enquête complémentaire. Dans un tel cas toutefois, le dossier devrait comprendre un descriptif clair des changements autorisés par le permis de construire (cf. CDAP AC.2017.0448 du 2 décembre 2019 consid. 4a; AC.2017.0218 du 3 juillet 2018 consid. 3a et les références citées). Les modifications plus importantes, mais qui ne modifient pas sensiblement le projet, peuvent être soumises à une enquête complémentaire au sens de l’art. 72b RLATC. La procédure est la même que pour une enquête principale, les éléments nouveaux ou modifiés devront être clairement mis en évidence dans les documents produits (art. 72b al. 3 RLATC). Enfin, les modifications qui dépassent le cadre de l'art. 72b RLATC doivent faire l’objet d’une nouvelle enquête publique principale selon l’art. 109 LATC (cf. CDAP AC.2020.0081 du 21 juillet 2021 consid. 4a/bb). b) Les plans du 18 juillet 2019 mis à l'enquête publique ont été modifiés par des plans du 10 juin 2020. A lire ceux-ci, la surface de l'attique a été réduite et sa cote abaissée de 0,12 m (de 436,23 m à 436,11 m), de même que la cote de son acrotère (de 436,34 m à 436,22 m [425,22 m + 11 m]). En outre, la terrasse desservant au nord-ouest les appartements du rez, a été haussée de 0,19 m (soit 425,03 m à 425,22 m), mais la cote du rez lui-même est demeurée à 425,03 m. La profondeur des balcons nord-ouest et sud-ouest a été diminuée, passant de 2 m à 1,2 m. Dans le garage souterrain, une place ordinaire a été transformée en place pour handicapé, une place visiteur ajoutée, ainsi que des places pour vélos. A l'extérieur, l'unique place de parc prévue a été supprimée; en revanche, a été nouvellement projeté un couvert à vélos. En définitive, seuls le rehaussement, de 0,19 m, de la terrasse desservant au nord-ouest les appartements du rez ainsi que la création d'un couvert à vélos à l'extérieur pourraient, selon les circonstances, être considérés comme défavorables aux opposants. Quoi qu'il en soit, les recourants ont pu largement s'exprimer sur ces éléments, de peu d'importance, au cours de la présente procédure, sans compter que le couvert à vélos est désormais abandonné, comme on le verra ci-dessous (cf. consid. 13b). Il ne se justifierait dès lors de toute façon pas, sous l'angle de la proportionnalité, d'imposer une enquête complémentaire à la constructrice.</w:t>
      </w:r>
    </w:p>
    <w:p>
      <w:r>
        <w:rPr>
          <w:b/>
        </w:rPr>
        <w:t>E. 6</w:t>
      </w:r>
    </w:p>
    <w:p>
      <w:r>
        <w:t>Les recourants A.________ et B.________ affirment que le projet ne respecterait pas la réglementation relative à la hauteur maximale des bâtiments (les recourants C.________ et consorts ont renoncé à ce grief en cours de procédure). a) En zone urbaine de l'ordre non contigu, la hauteur des bâtiments est régie par les art. 30 ss RPE ainsi rédigés: " Art. 30.   Hauteur maxima des façades Les façades, y compris toutes les constructions à l'aplomb du mur de face, ne peuvent dépasser les hauteurs fixées comme suit; la plus grande dimension en plan du bâtiment projeté étant déterminante: a)    leur longueur pour les bâtiments ne dépassant pas 11 mètres; b)    en sus de 11 mètres jusqu'à 14 mètres de longueur, une hauteur de</w:t>
      </w:r>
    </w:p>
    <w:p>
      <w:r>
        <w:rPr>
          <w:b/>
        </w:rPr>
        <w:t>E. 11</w:t>
      </w:r>
    </w:p>
    <w:p>
      <w:r>
        <w:t>mètres; c)    14 mètres de hauteur pour les bâtiments de plus de 14 mètres de longueur. Art. 31.   Hauteur des bâtiments Aucune façade ne peut dépasser la hauteur limite de 14 mètres à la corniche réelle ou fictive. Pour les bâtiments implantés sur l'alignement et jusqu'à une distance de 6 mètres en retrait de celui-ci, la hauteur est mesurée dans le milieu de la façade dès le niveau de la bordure du trottoir ou de l'axe de la voie existante ou projetée, jusqu'à l'arête supérieure de la corniche réelle ou fictive. Les exceptions prévues à l'art. 18 de la zone d'ordre contigu sont applicables ". " Art. 35.   Gabarits de toitures, saillies Sont applicables les articles 18, 19, 20 et 57 ". Les art. 19 et 20 auxquels renvoie l'art. 35 sont ainsi libellés: " Art. 19. Gabarits de toiture Au-dessus de la hauteur limite des façades, que celles-ci soient ou non situées sur l'alignement, le profil des toitures, constructions de superstructures quelconques, ne peut dépasser sur chacune des façades un arc de cercle de 7 mètres de rayon, dont le point de départ est placé à l'aplomb du mur de face pris au niveau de la hauteur de limite, et le centre à un mètre au-dessous du niveau de celle-ci. Si le comble est mansardé, la hauteur entre la corniche et le dessus du membron ne peut dépasser 3,20 m, le membron devant être à une distance de 70 cm en arrière du nu du mur, quelle que soit la hauteur de la corniche réelle ou fictive . Art. 20.   Saillies hors gabarit Quelles que soient la hauteur et la forme du comble, toutes les saillies qu'il peut présenter doivent être contenues dans l'arc de cercle indiqué ci-dessus. Il est fait exception pour le membron, qui peut faire saillie de 15 cm et pour la corniche de l'attique, qui peut faire saillie de 30 cm. Pour les cages d'escaliers, le nu de leur mur extérieur peut être le même jusqu'au niveau du plafond de l'étage des combles, la hauteur ne peut toutefois dépasser la hauteur du faîtage de l'immeuble. Peuvent également sortir du gabarit, les balustrades et les garde-corps métalliques ajourés, qui devront être posés à l'aplomb du mur de face, ainsi que les écrans de séparation en matériaux légers et les lucarnes de l'étage situé immédiatement au-dessus de la corniche. Les lucarnes pourront être placées à l'aplomb du parement extérieur du mur de face. Leurs largeurs additionnées ne pourront dépasser le 1/3 de la largeur de la façade. Les souches de cheminées ne peuvent dépasser le profil des combles que si elles sont éloignées d'au moins 1 mètre du parement extérieur des murs de face. Si le gabarit du toit va en ligne droite de la corniche au faîte, et si les cheminées font l'objet d'un motif de décoration, la Municipalité pourra autoriser une dérogation à cette dernière restriction ". b) En l'espèce, il n'est pas contesté qu'au vu de la longueur de ses façades, supérieure à 14 m, le projet doit respecter une hauteur de 14 m (cf. art. 30 let. c RPE). Les parties discutent cependant de la manière de déterminer les points de référence supérieur et inférieur à retenir dans le calcul de la hauteur des façades, respectivement dans l'examen du respect de la hauteur maximale de</w:t>
      </w:r>
    </w:p>
    <w:p>
      <w:r>
        <w:rPr>
          <w:b/>
        </w:rPr>
        <w:t>E. 14</w:t>
      </w:r>
    </w:p>
    <w:p>
      <w:r>
        <w:t>Les recourants A.________ et B.________ s'opposent, pour des motifs liés à la protection du patrimoine, à la démolition de la villa ECA 432. a) La loi vaudoise du 10 décembre 1969 sur la protection de la nature, des monuments et des sites (LPNMS; BLV 450.11) prévoit, à son chapitre IV, une "protection générale" des monuments historiques et des antiquités, soit de tous les monuments de la préhistoire, de l'histoire, de l'art et de l'architecture et les antiquités immobilières situés dans le canton, qui présentent un intérêt archéologique, historique, artistique, scientifique ou éducatif" (art. 46 al. 1 LPNMS). A l'exception des notes 1 et 2 (qui impliquent une mise à l'inventaire), les notes attribuées dans le recensement architectural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de la loi fédérale du 22 juin 1979 sur l’aménagement du territoire (LAT; RS 700) ou, dans la procédure de permis de construire, lorsque ces autorités appliquent les règles concernant l'intégration et l'esthétique des constructions ou statuent sur une autorisation cantonale spéciale (cf. TF 1C_298/2017 du 30 avril 2018 consid. 3.1.5; TF 1C_493/2016 du 30 mai 2017 consid. 2.5; CDAP AC.2020.0246 du 21 mai 2021 consid. 5a/cc; AC.2020.0235 du 20 mai 2021 consid. 10b/bb; AC.2019.0209 du 28 avril 2021 consid. 6a/bb et les références citées). L'art. 86 LATC prévoit que la municipalité veille à ce que les constructions, quelle que soit leur destination, ainsi que les aménagements qui leur sont liés, présentent un aspect architectural satisfaisant et s'intègrent à l'environnement (al. 1), et qu'elle refuse le permis pour les constructions ou les démolitions susceptibles de compromettre l'aspect et le caractère d'un site, d'une localité, d'un quartier ou d'une rue, ou de nuire à l'aspect d'un édifice de valeur historique, artistique ou culturelle (al. 2). A Renens, la question de l'esthétique des constructions est réglée aux art. 65 ss RPE. En particulier, l'art. 66 RPE dispose que la municipalité peut prendre des dispositions spéciales en vue d'éviter l'enlaidissement de la ville et de ses abords, notamment le long des voies de communications.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(cf. ATF 115 Ia 114 consid. 3d; 115 Ia 363 consid. 3a et 3b; 101 Ia 213 consid. 6c; TF 1C_104/2020 du 23 septembre 2020 consid. 2.4; 1C_360/2018 du 9 mai 2019 consid. 4.1.2; CDAP AC.2021.0020 du 1 er juillet 2021 consid. 2b et les références citées).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CDAP AC.2021.0101 du 21 juin 2021 consid. 3b; AC.2020.0246 du 21 mai 2021 consid. 5a/dd; AC.2020.0235 du 20 mai 2021 consid. 10a/dd). b) La villa ECA 432 fait partie d'une succession de 5 villas locatives le long du tronçon en cause de la rue des Alpes (les n os 2, 4, 6 et 8 côté sud-ouest et le n o</w:t>
      </w:r>
    </w:p>
    <w:p>
      <w:r>
        <w:rPr>
          <w:b/>
        </w:rPr>
        <w:t>E. 17</w:t>
      </w:r>
    </w:p>
    <w:p>
      <w:r>
        <w:t>de l'autre côté), toutes recensées en note 4 au recensement architectural. Ces villas ont été construites pour le n° 4 en 1908, les n° 6 et 8 en 1929, et le n° 7 en 1914. La date de construction du n° 2 ne figure pas sur la fiche de recensement. c) En l'occurrence, la décision attaquée a retenu ce qui suit: " 3.   Recensement architectural et esthétique Le projet, de conception contemporaine, présente des qualités architecturales certaines, mais surtout une très bonne intégration au site. L'ancienne parcelle n° 614 est entièrement dédiée au jardin existant, composée uniquement de surfaces vertes perméables, sans aucune construction. Une attention particulière des services communaux a également été portée sur les arbres majeurs environnants afin de les maintenir dans la plus grande mesure possible. Quant à l'environnement bâti, même si le sud de la rue des Alpes montre une certaine unité architecturale, le quartier présente une urbanisation hétérogène. Il est composé d'une succession de bâtiments représentatifs chacun de son époque, notamment des immeubles de 5 étages au nord de la rue, y compris un important bâtiment très contemporain à l'angle de la rue de l'Avenir. Ainsi, le projet poursuit cette logique urbaine évolutive. Le projet présente une qualité de l'habitat intéressante, avec une typologie d'appartements divers qui permet une mixité sociale (personnes âgées, familles, couples, etc.). Il répond ainsi aux objectifs de densification des centres urbains, dictés par la planification directrice et par la législation fédérale et cantonale sur l'aménagement du territoire. La Municipalité rappelle au surplus que les bâtiments recensés en note *4*, soit les «objets bien intégrés», ne bénéficient pas d'une protection particulière au regard de la loi sur la protection de la nature, des monuments et des sites (LPNMS) ". A l'audience, la municipalité a indiqué qu'elle avait conscience de la valeur des villas concernées, mais qu'il ne s'agissait que d'un petit ensemble de maisons dans un quartier en développement et qu'après avoir procédé à une balance des intérêts, elle avait opté pour la densification d'une parcelle particulièrement bien centrée et desservie en transports publics. La municipalité estimait que le plus important dans cette rue était de préserver le "corridor vert" qui la caractérisait et que respectait le projet litigieux. Elle assumait pour le surplus son choix de développement urbanistique, en se prévalant de son large pouvoir d'appréciation. d) Pour sa part, la DGIP a rappelé dans ses déterminations du 26 novembre 2020 qu'elle s'était adressée à la municipalité le 3 décembre 2019, afin de l'inviter à coordonner un travail de révision globale de son recensement architectural avec les autorités cantonales, tout en précisant qu'elle n'entrait pas en matière sur une révision ponctuelle du recensement. La municipalité avait répondu à sa sollicitation le 20 novembre 2020, en indiquant qu'elle avait entamé les études pour la révision de son plan d'affectation communal et que ses mandataires avaient dans ce cadre pris contact avec la DGIP au sujet de l'inventaire des périmètres ISOS d'importance régionale d'une part, et de la mise à jour du recensement architectural d'autre part. La DGIP ajoutait encore dans ses déterminations qu'une démarche collaborative pour réviser l'ensemble du recensement de la commune serait entamée. Elle précisait enfin que ce travail long et complexe, auquel s'ajoutaient nombre d'autres dossiers en cours dans d'autres communes, requerrait un engagement sur plusieurs mois ou années. A l'audience, la DGIP a déclaré que le site présentait une valeur indéniable, que les villas soient prises isolément ou comme un ensemble. A ses yeux, sa force résidait surtout dans la répétition d'une même typologie, malheureusement atteinte peu à peu par la construction d'immeubles modernes. Elle estimait que même si les bâtiments étaient actuellement en note 4 et ne bénéficiaient d'aucune mesure de protection, ils restaient néanmoins très intéressants et obtiendraient probablement la note 3 lors du nouveau recensement en cours. Cela ne signifiait pas que tout projet de construction devait être bloqué, mais qu'il convenait de soigner davantage son intégration dans cet ensemble. Elle relevait enfin qu'en détruisant la villa de la constructrice, le site perdrait son sens, ce qui serait regrettable pour l'histoire de la commune. Enfin, elle ajoutait que le recensement des parcs et jardins historiques de la Suisse (ICOMOS; Conseil international des monuments et des sites) était en voie de révision. e) Le Tribunal saisit bien le souhait des recourants A.________ et B.________, voire de la DGIP, de garder intacte la succession des cinq villas locatives encore existantes et, partant, de conserver ces témoins notables du patrimoine immobilier érigé au début du XX e siècle. Néanmoins, ces villas sont à ce jour recensées en note 4 seulement. La note 4 est attribuée à un bâtiment "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 x." En d'autres termes, si l'identité des villas en cause mérite d'être sauvegardée, cela n'autorise pas l'autorité, sur le principe, à imposer au constructeur de préserver l'une ou l'autre caractéristique en cas de transformations, encore moins à lui interdire une démolition. Pour le surplus, il n'a pas été établi que les villas prises, non pas individuellement, mais dans leur ensemble, composent un ensemble qui présenterait une valeur historique significative, au point qu'il doive être gardé intact. En l'état, aucun élément tangible, par exemple une étude historique ou un recensement achevé, ne permet d'interdire à la propriétaire de valoriser son terrain en démolissant le bâtiment existant. De même, à ce jour, le jardin ne figure pas au recensement ICOMOS. Ainsi, en l'état, la municipalité n'a pas abusé de sa marge d'appréciation en matière de sauvegarde du patrimoine, d'intégration et d'esthétique, en autorisant la démolition de la villa ECA 432 et l'édification du bâtiment projeté. Encore faudra-t-il, comme l'a relevé la municipalité à l'audience, préserver l'un des éléments les plus caractéristiques de ce segment de la rue des Alpes, à savoir le "corridor vert", soit la succession de murets et de végétation longeant le bord sud-ouest de la rue des Alpes, étant précisé que les arbres qui dépériraient le long de ce tronçon devront être remplacés. 15. Vu ce qui précède, les recours doivent être admis et la décision attaquée annulée. Succombant, la constructrice doit assumer un émolument judiciaire, ainsi qu'une indemnité de dépens en faveur des recourants. L'indemnité aux recourants A.________ et B.________ sera réduite, compte tenu de l'intervention tardive de leur mandataire dans la procédure. La municipalité n'ayant pas gain de cause, elle n'a pas droit à des dépens. Elle ne participe toutefois pas aux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