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AC.2020.0186 vom 3. November 2021</w:t>
      </w:r>
    </w:p>
    <w:p>
      <w:r>
        <w:t>VD Tribunal cantonal, 2021-11-03, FR</w:t>
      </w:r>
    </w:p>
    <w:p>
      <w:r>
        <w:rPr>
          <w:b/>
        </w:rPr>
        <w:t xml:space="preserve">Quelle: </w:t>
      </w:r>
      <w:r>
        <w:t>https://mcp.opencaselaw.ch/entscheid/vd_omni_AC.2020.0186</w:t>
      </w:r>
    </w:p>
    <w:p>
      <w:r>
        <w:t>FR: VD_OMNI AC.2020.0186 du 3 novembre 2021</w:t>
      </w:r>
    </w:p>
    <w:p>
      <w:r>
        <w:t>IT: VD_OMNI AC.2020.0186 del 3 novembre 2021</w:t>
      </w:r>
    </w:p>
    <w:p>
      <w:pPr>
        <w:pStyle w:val="Heading2"/>
      </w:pPr>
      <w:r>
        <w:t>Regeste</w:t>
      </w:r>
    </w:p>
    <w:p>
      <w:r>
        <w:t>A.________, B.________/Municipalité de Mont-la-Ville, Département des institutions et du territoire, C.________, D._________ | Rejet du recours dirigé contre le refus d'un permis de construire fondé sur le surdimensionnement de la zone à bâtir et l'institution subséquente d'une zone réservée cantonale également litigieuse. Il n'est pas disproportionné de prévoir une zone réservée sur une parcelle de 3'000 m2 située à proximité du centre du village et qui jouxte une large bande de terrain non construite, indépendamment de la question de savoir si le bien-fonds appartient, ou non, au territoire urbanisé. On ne peut en effet exclure d'emblée que tout ou partie du bien-fonds fasse l'objet d'une nouvelle affectation dans le cadre de la révision du plan communal. D'ailleurs, les intentions municipales portent justement sur une modification de l'affectation. Rejet au demeurant des griefs relatifs à la violation des principes d'égalité de traitement, de la bonne foi et de l'interdiction de l'arbitraire.</w:t>
      </w:r>
    </w:p>
    <w:p>
      <w:pPr>
        <w:pStyle w:val="Heading2"/>
      </w:pPr>
      <w:r>
        <w:t>Erwägungen</w:t>
      </w:r>
    </w:p>
    <w:p>
      <w:r>
        <w:rPr>
          <w:b/>
        </w:rPr>
        <w:t>E. 1</w:t>
      </w:r>
    </w:p>
    <w:p>
      <w:r>
        <w:t>Les recours sont dirigés d'une part contre une décision municipale refusant un permis de construire au sens des art. 103 ss de la loi du 4 décembre 1985 sur l'aménagement du territoire et les constructions (LATC; BLV 700.11), et d'autre part contre la décision instituant une zone réservée sur la parcelle n° 68 de Mont-la-Ville. Ces décisions peuvent faire l'objet d'un recours de droit administratif au Tribunal cantonal, au sens des art. 92 ss de la loi du 28 octobre 2008 sur la procédure administrative (LPA-VD; BLV 173.36). La qualité pour recourir de A.________, promettante-acquéreuse et destinataire des décisions n'est pas contestée et il n'y a pas de doute que celle-ci a qualité pour recourir, en vertu de l'art. 75 let. a LPA-VD. La municipalité conteste en revanche, la qualité pour recourir de B.________ au motif qu'il ne figure pas en qualité de promettant-acquéreur sur le plan de situation figurant au dossier. Toutefois, tel est le cas sur la demande de permis de construire n° CAMAC 190485 du 9 janvier 2020. Cette question souffre néanmoins ne rester non résolue, au vu de la qualité pour recourir reconnue à A.________ et du sort du recours. L'acte de recours respecte en outre les autres exigences légales de recevabilité. Il y a donc lieu d’entrer en matière.</w:t>
      </w:r>
    </w:p>
    <w:p>
      <w:r>
        <w:rPr>
          <w:b/>
        </w:rPr>
        <w:t>E. 2</w:t>
      </w:r>
    </w:p>
    <w:p>
      <w:r>
        <w:t>Les recourants ont requis la production de plusieurs pièces, soit des renseignements écrits de la part de la Cheffe du DIT relatifs à la volonté d'abandonner le critère démographique pour le dimensionnement des zones à bâtir, tous les documents définissant les critères de la DGTL pour la pratique de surveillance des permis de construire délivrés dans les communes surdimensionnées ainsi que tous les documents définissant les changements intervenus dans ceux-ci entre le 2 septembre 2017 et le 17 juin 2020.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b) La première mesure d'instruction requise par les recourants vise à démontrer que les autorités cantonales ont l'intention de modifier les critères d'appréciation du surdimensionnement au sens de l'art. 15 al. 2 LAT. Toutefois, sont applicables à la présente procédure les critères fixés dans le PDCn dans sa dernière version et des intentions ne sauraient être prises en compte, dans la mesure où elles n'ont pas été adoptées par le parlement. Dès lors, il n'y a pas lieu de requérir les renseignements demandés. Les autres pièces requises ont trait au fonctionnement interne de la DGTL, la pratique évoquée par celle-ci dans ses déterminations du 14 septembre 2020 ne faisant pas l'objet d'une directive publiée. Il s'agit donc – pour autant qu'ils existent – de documents purement internes qui ne sauraient être transmis à des tiers. Par ailleurs, ils n'ont pas de portée dans le cadre de l'examen du présent recours. La réquisition sera donc rejetée également.</w:t>
      </w:r>
    </w:p>
    <w:p>
      <w:r>
        <w:rPr>
          <w:b/>
        </w:rPr>
        <w:t>E. 2.2</w:t>
      </w:r>
    </w:p>
    <w:p>
      <w:r>
        <w:t>et les références). c) aa) En l'espèce, les recourants soutiennent tout d'abord que le fait que le SDT (aujourd'hui DGTL) n'ait pas formé d'opposition à deux précédents projets de construction sur la parcelle – refusés pour différents motifs par la municipalité rappelons-le – constituerait une position de ce service admettant la possibilité de construire. Ils se fondent sur le fait qu'aucun fait nouveau ne serait intervenu depuis la précédente mise à l'enquête, n° CAMAC 180703. Il paraît douteux que l'inaction du SDT à l'époque puisse constituer une assurance au sens de la jurisprudence citée plus haut. En effet, l'absence d'opposition à un projet particulier ne peut signifier que l'on accepterait n'importe quel projet, dans n'importe quelle condition, sur la même parcelle. Pour ce premier motif, on peine à percevoir une quelconque violation des principes invoqués par les recourants. En outre, même si l'on devait admettre la position des recourants – ce qui n'est pas le cas – la mise à l'enquête n° CAMAC 180703 est antérieure au dépôt par la municipalité de la vision communale qui expose les intentions de planification concernant la parcelle n° 68, soit une affectation en zone de verdure. Il s'agit d'un changement notable des circonstances qui invaliderait toute "assurance" donnée précédemment. Au demeurant, dans la mesure où la mise en place d'une zone réservée – et donc l'opposition au permis de construire – a pour but de préserver la liberté communale en vue de sa planification future, les mesures prises par le canton sont conformes aux principes de l'art. 27 LAT et à l'autonomie communale. bb) Les recourants font valoir que d'autres parcelles sises sur la commune, en particulier les bien-fonds n os 278, 494 et 503, ne feraient pas l'objet d'une mesure similaire et que des projets y seraient envisagés. Ainsi, l'égalité de traitement ne serait pas respectée. Il ressort toutefois des explications données tant par la DGTL que par la municipalité que si, durant un temps, il a été envisagé de conserver des droits à bâtir sur des parcelles non construites, tel n'est plus le cas aujourd'hui. En effet, à comprendre ses autorités, les discussions actuellement en cours au sujet du projet de plan d'affectation révisé ont amené à la suppression de l'ensemble des droits à bâtir sur les parcelles du territoire communal actuellement non construites. Dès lors, la parcelle des recourants n'est pas traitées – en l'état – différemment d'autres bien-fonds similaires du territoire communal. Au demeurant, la comparaison effectuée par les recourants lors de l'inspection avec la situation prévalant dans l'arrêt CDAP AC.2019.0384 du 2 décembre 2020 ne saurait induire une appréciation différente. En effet, dans cet arrêt, la surface de la parcelle litigieuse, affectée en zone constructible, était inférieure à 2'000 m 2 , alors que celles des recourants est supérieure 3'000 m 2 et éligible, comme on l'a vu plus haut, à une réflexion sur son affectation pour ce seul motif. Il n'est ainsi pas évident – contrairement à ce qui avait été retenu dans le cadre de l'arrêt précité – que le terrain des recourants soit maintenu, en tout ou partie, en zone constructible, même si la réflexion municipale n'est pas achevée sur ce point. d) Le grief des recourants doit donc être rejeté.</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(arrêt TF 1C_568/2014 et 1C_576/2014 du 13 janvier 2016 consid. 7.2; Message, FF 2010 959, ch. 1.1 p. 963, ch. 2.3.4 p. 980, ch. 2.6 p. 987 et ch. 3.2 p. 988). L'art. 8a LAT dispose que dans le domaine de l'urbanisation, le plan directeur cantonal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 er août 2008, le PDCn a fait l'objet de plusieurs adaptations. Une quatrième adaptation a été adoptée par le Grand Conseil les 20 et 21 juin 2017 pour être approuvée par le Conseil fédéral le 31 janvier 2018. Cette 4ème adaptation du PDCn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CDAP AC.2017.0364, AC.2017.0368 précité consid. 2b/bb2a/bb; AC.2017.0104 du 15 janvier 2019 consid. 3b et AC.2016.0354 20 décembre 2018 consid. 1c).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leurs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Pour assurer la mise en œuvre de la mesure A11, les communes surdimensionnées ne peuvent délivrer de permis de construire tant qu'elles n'ont pas redimensionné leurs zones à bâtir si de tels permis sont susceptibles d'entraver la mise en conformité des planifications ou que les terrains répondent aux qualités des surfaces d'assolement. La 4 ème adaptation du PDCn (ci-après: le PDCn 4) a modifié l'année de référence en la repoussant de 2008 à 2015, étendu l'horizon de planification à 2036 et fixé le taux de croissance à 0,75% pour les villages et quartiers hors centre (mesure A11 du PDCn). Le développement maximal d'une commune hors centre se calcule désormais en multipliant la croissance annuelle admise (0,75%) par le nombre d'années qui séparent la date de référence de l'horizon de planification (21 ans). Il correspond ainsi à une croissance totale de 15,75% (0,75% x 21 ans). Les communes qui, comme la commune de Mont-la-Ville, doivent redimensionner leurs zones à bâtir doivent réviser leurs plans d'affectation et soumettre leur projet à l'approbation du canton au plus tard cinq ans après l'adoption du PDCn par le Grand Conseil (à savoir en juin 2022). Selon la mesure A11 du PDCn 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La fiche d'application du SDT de décembre 2019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(fiche d'application, ch. 2).</w:t>
      </w:r>
    </w:p>
    <w:p>
      <w:r>
        <w:rPr>
          <w:b/>
        </w:rPr>
        <w:t>E. 3.2</w:t>
      </w:r>
    </w:p>
    <w:p>
      <w:r>
        <w:t>et la référence citée). La garantie de la propriété, ancrée à l'art. 26 al. 1 Cst., peut être restreinte aux conditions fixées à l'art.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(ATF 113 Ia 444 consid. 4b/ba; arrêt TF 1C_149/2018 du 13 septembre 2018 consid. 2.3). b) Comme indiqué sous consid. 3b/aa et 3b/bb ci-dessus, l'art. 15 LAT prévoit aujourd'hui que les zones à bâtir sont définies de telle manière qu'elles répondent aux besoins prévisibles pour les quinze années suivantes (al. 1), les zones surdimensionnées devant être réduites (al. 2). Le droit fédéral ne prévoit toutefois pas de critère fixe pour l'évaluation des besoins et le canton de Vaud a choisi, dans le cadre du PDCn, de retenir celui des habitants. S'il est exact que celui-ci a fait l'objet de critiques, en particulier par l'Office fédéral du territoire (ARE), dans son rapport d'examen du 16 janvier 2018 relatif à la 4 ème adaptation du PDCn et par la jurisprudence cantonale, il a toutefois été validé par le Conseil fédéral et les tribunaux ne l'ont pas remis en question (cf. arrêts TF 1C_218/2020 du 23 juillet 2021 consid. 2, et en particulier consid. 2.1 qui rappelle le contenu du rapport de l'ARE et le fait que le Conseil fédéral a approuvé la méthodologie; 1C_190/2020 du 9 février 2021 consid. 3.2.3, rendu sur l'arrêt CDAP AC.2019.0109 du 19 février 2020 qui traite de la question au consid. 3d). Le Tribunal fédéral a même expressément dit qu'il n'y avait pas lieu de revenir sur la méthode de dimensionnement appliquée dans le canton de Vaud (arrêt TF déjà cité 1C_218/2020 consid. 2.2). Ainsi, même si les autorités cantonales songent à revoir ce critère dans le cadre de la prochaine version du PDCn – ce qui ne se traduit actuellement que par des prises de position et non par une décision du parlement modifiant le PDCn –, il n'y a pas lieu de retenir une autre méthode de calcul dans le cas d'espèce. Il n'est pour le reste pas contesté que les zones à bâtir de la commune de Mont-la-Ville sont surdimensionnées, ce qui ressort d'ailleurs de la liste établie par la DGTL en juillet 2017 des villages et quartiers hors centre devant réviser leur plan général d'affectation en raison du surdimensionnement à bâtir et de la fiche relative aux potentiels de croissance alloués à chaque commune jusqu'en 2036 (disponibles sous https://www.vd.ch/themes/territoire-et-construction/amenagement-du-territoire/zones-a-batir-dhabitation-et-mixtes/redimensionner-les-zones-a-batir/). Le grief doit être écarté. c) aa) Comme mentionné plus haut, la fiche d'application de la DGTL intitulée "Comment traiter les zones à bâtir d'habitation et mixtes excédant les besoins à 15 ans ou peu adéquates pour le développement" (sur le site internet vd.ch, rubrique: Territoire et construction &gt; Aménagement du territoire &gt; Plan d'affectation communal [actuellement: version de décembre 2019]) définit la stratégie de redimensionnement suivante: "– Dézoner toutes les franges de la zone à bâtir en zone agricole; ces franges sont identifiées lors de la délimitation du territoire urbanisé et des noyaux largement bâtis de la commune. – Traiter les petites zones à bâtir, en commençant par dézoner les espaces non-bâtis et, selon le résultat, analyser s'il est pertinent ou non de maintenir le bâti en zone à bâtir. – Affecter en zone agricole ou en zone de verdure les espaces vides de plus de 2500 m2 situés au milieu du bâti. – Mener une réflexion qualitative sur le tissu bâti et les espaces vides qu'il comprend afin d'identifier les secteurs qui méritent d'être mis en valeur et les préserver par des mesures de planification. – Assurer la disponibilité des terrains libres de construction sur le territoire communal et, le cas échéant, affecter les parcelles concernées en conformité avec leur usage futur." La fiche d'application ajoute ce qui suit: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 du point de vue de l'aménagement du territoire ont été prises." Cette fiche d'application prévoit une première phase dans le processus de révision du plan général d'affectation, à savoir la délimitation du territoire urbanisé et des noyaux largement bâtis. La notion de "territoire urbanisé" est définie dans une fiche établie par la DGTL, portant ce titre (version de février 2019 disponible sous https://www.vd.ch/themes/territoire-et-construction/amenagement-du-territoire/plan-daffectation-communal/fiches-dapplication) et donnant notamment les explications suivantes : "Le territoire urbanisé est une donnée de base nécessaire pour cadrer le développement de l'urbanisation. Il comprend les territoires largement bâtis situés en zone à bâtir formant le cœur d'une localité, y compris les terrains non bâtis à vocation urbaine. Une fois tracé, le territoire urbanisé permet de distinguer les zones à bâtir à densifier de celles qui ne doivent pas l'être. [...] Dans une démarche de redimensionnement des zones à bâtir, la délimitation du territoire urbanisé permet d'identifier les différentes actions à mener pour réduire le potentiel d'accueil des zones à bâtir. Celles-ci sont en effet différentes si l'on se trouve à l'intérieur ou hors du territoire urbanisé. La commune délimite le périmètre du territoire urbanisé en amont d'une révision d'un plan d'affectation. Le périmètre du territoire urbanisé est intégré dans la stratégie d'aménagement qu'elle soumet au Service du développement territorial au début de la procédure de planification." La fiche précitée mentionne également qu'il convient de distinguer les territoires largement bâtis situés en zones à bâtir, des petites entités bâties situées hors de la zone à bâtir. S'agissant des premiers – notion applicable en l'espèce, les parcelles litigieuses étant actuellement situées en zone à bâtir la fiche les définis selon les critères suivants : "Un territoire largement bâti situé en zone à bâtir répond aux critères suivants : · il réunit en principe au moins un groupe de bâtiments de dix habitations permanentes ; · il comprend essentiellement des constructions destinées à l'habitation, aux activités économiques, aux services et aux équipements, à l'exclusion de celles destinées à l'agriculture ; · la distance entre les constructions est en principe inférieure à 50 mètres." La fiche retient encore qu'il convient de tenir compte de l'usage actuel du sol. Un terrain en zone à bâtir aménagé en jardin doit être inclus dans le territoire urbanisé, mais il en va différemment si ce même terrain est utilisé comme champ. Il faut donc procéder à l'identification du territoire urbanisé en retenant, parmi les noyaux urbanisés largement bâtis, celui ou ceux qui forment le centre construit historique.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Sur la base d'une photographie aérienne, il faut définir le périmètre du territoire urbanisé en appliquant les principes suivants : se rapprocher au plus près des constructions et des abords aménagés en se calant sur les éléments physiques (route, configuration du site, pente, lisière forestière, murs, éléments construits, etc.); se caler sur le foncier (lorsque les limites cadastrales sont proches des éléments aménagés); exclure les bâtiments se situant à plus de 50 mètres des bâtiments se trouvant à l'intérieur du territoire urbanisé; tenir compte de l'usage actuel du sol; exclure les bâtiments agricoles situés en bordure du territoire urbanisé; exclure, en bordure du périmètre, les terrains inaptes à la construction. Dans ce cadre, les terrains inaptes à la construction doivent encore être exclus du territoire urbanisé. Au demeurant, le contenu de la fiche est conforme à la jurisprudence rendue au sujet des "territoires largement bâtis" de l'ancien art. 15 let. a LAT, et dont le Tribunal fédéral avait déjà précisé qu'elle devait être comprise de manière étroite (arrêt TF 1C_378/2016 du 4 janvier 2017 consid. 3.2). La délimitation du territoire urbanisé, opération incombant normalement à la municipalité, est ainsi destinée à fournir une "donnée de base" aux autorités de planification, en vue des futures décisions de révision ou de modification du plan général d'affectation (arrêt CDAP AC.2019.0012 du 23 décembre 2020 consid. 2c). bb) En l'espèce, la parcelle n°68 est entourée sur plusieurs côtés de terrains bâtis et se situe à proximité du centre du village. Les constructions voisines sont situées à moins de 50 mètres. Il est donc envisageable que la parcelle se trouve en territoire urbanisé au sens de la fiche de la DGTL. Les recourants se méprennent toutefois lorsqu'ils considèrent que cela ferait échec à toute possibilité de revoir l'affectation de leur terrain en cas de surdimensionnement des zones à bâtir. En effet, s'il convient d'abord d'examiner la situation des parcelles situées hors du territoire urbanisé en cas de surdimensionnement de la zone à bâtir, cela ne signifie aucunement que, si nécessaire, les parcelles comprises dans dit territoire ne puissent l'être, comme le rappelle d'ailleurs les lignes directrices à l'intention des communes vaudoises éditées par la DGTL intitulées "Redimensionnement des zones à bâtir" (cf. étape 3, traiter le potentiel à l'intérieur des centres et des territoires urbanisés; brochure disponible sous https://www.vd.ch/themes/territoire-et-construction/amenagement-du-territoire/zones-a-batir-dhabitation-et-mixtes/redimensionner-les-zones-a-batir/). La jurisprudence rappelle d'ailleurs que même des parcelles équipées ou comportant déjà des constructions peuvent – ou au besoin doivent – être attribuées à une zone de non bâtir. De même des parcelles sans vocation agricole peuvent – ou au besoin doivent – être attribuée à une telle zone (arrêt CDAP AC.2018.0361 du 15 avril 2019 consid. 4 et les réf. citées confirmé par l'arrêt TF 1C_267/2019 du 5 mai 2020, dont le consid. 3.3 in fine rappelle le principe). Or, en l'espèce, la zone à bâtir est particulièrement surdimensionnée et toute liberté doit être laissée à l'autorité communale pour déterminer quelles sont les parcelles, ou les parties de celles-ci, devant faire l'objet d'une nouvelle affectation. Or, la parcelle n° 68 est d'une surface supérieure à 3'000 m 2 , ce qui la qualifie, au regard la directive de la DGTL mentionnée sous lettre c/aa ci-dessus, pour une modification de son affectation. En outre, il convient de tenir compte de la large bande non construite qui s'étend depuis le bien-fonds litigieux et ensuite sur son côté sud-ouest, jusqu'à la parcelle n° 480. On ne peut donc exclure d'emblée que tout ou partie du bien-fonds fasse l'objet d'une nouvelle affectation dans le cadre de la révision du plan. D'ailleurs, selon la DGTL, les intentions municipales, exposées dans la vision communale transmise le 29 juillet 2019, portent justement sur une modification de l'affectation. Dès lors, il importe peu de déterminer précisément si le bien-fonds litigieux appartient, ou non, au territoire urbanisé. A ce titre, les considérants de l'arrêt CDAP AC.2019.0386 du 14 décembre 2020 ne sont d'aucun secours aux recourants. La parcelle en question était en effet d'une surface inférieure à 2'500 m 2 , ce qui n'est pas le cas en l'espèce. De plus, la commune avait, dans le cas traité dans l'arrêt, mis en place une zone réservée communale a priori suffisante pour compenser le surdimensionnement de sa zone à bâtir hors centre et indiquait vouloir conserver la parcelle concernée dans la zone à bâtir. Or, s'agissant de la parcelle n° 68, la municipalité a exposé dans la vision communale qu'elle entend l'attribuer en zone de verdure et non la maintenir en zone à bâtir. En tous les cas, dans sa réponse au recours, elle a évoqué qu'il était nécessaire de lui ménager la plus grande marge de manœuvre possible pour la révision de son plan général d'affectation. d) Enfin, les arguments développés par les recourants dans leur écriture relative au permis de construire quant au fait que la parcelle n° 68 ne serait pas susceptible d'être exclue de la zone à bâtir, respectivement quant à l'impact du dépassement du taux de croissance sur l'octroi du permis de construire, doivent être également écartés pour les motifs qui précèdent. e) En définitive, l'ensemble de ces griefs doivent être écartés.</w:t>
      </w:r>
    </w:p>
    <w:p>
      <w:r>
        <w:rPr>
          <w:b/>
        </w:rPr>
        <w:t>E. 4</w:t>
      </w:r>
    </w:p>
    <w:p>
      <w:r>
        <w:t>Les recourants invoquent tout d'abord une violation du principe de proportionnalité. Ils considèrent d'une part que le dépassement du taux de croissance fixé par le PDCn ne serait pas un élément suffisant pour justifier de la création d'une zone réservée. D'autre part, la parcelle n° 68 ferait partie du territoire urbanisé alors que seules des parcelles hors de celui-ci pourraient faire l'objet d'une zone réservée. L'argumentation des recourants se recouvrant sur ces deux points, il convient de les examiner conjointement. a) Il convient tout d'abord de rappeler qu'en général, une zone réservée satisfait à l'exigence d'aptitude découlant du principe de la proportionnalité puisqu'il s'agit de préserver la liberté de planification de l'autorité compétente (arrêt TF 1C_57/2020 du 3 février 2021 consid.</w:t>
      </w:r>
    </w:p>
    <w:p>
      <w:r>
        <w:rPr>
          <w:b/>
        </w:rPr>
        <w:t>E. 5</w:t>
      </w:r>
    </w:p>
    <w:p>
      <w:r>
        <w:t>Les recourants invoquent encore une violation du principe de l'égalité de traitement, de celui de la bonne foi et de l'interdiction de l'arbitraire. a) Une décision viole le principe de l'égalité de traitement consacré à l'art.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traduit et résumé in RDAF 2016 I p. 443, 140 I 77 consid. 5.1, 137 I 167 consid. 3.4; arrêt TF 1C_136/2019 du 4 décembre 2019 consid. 3.1). Même si le principe de l'égalité de traitement n'a dans la planification territoriale qu'une portée restreinte (cf. Jeannerat/Moor, op. cit., n. 47 ad art. 14), il faut en tenir compte dans une procédure de réduction des zones à bâtir surdimensionnées; une analyse non scindée en plusieurs étapes et portant sur tout le territoire communal est propre à garantir que les mêmes critères seront appliqués à tous les propriétaires. La transparence, la prévisibilité et l'égalité de traitement sont des éléments à prendre en considération dans le processus de redimensionnement (cf. arrêts TF 1C_550/2018 du 19 novembre 2019 consid. 4.3; 1C_518/2019 du 8 juillet 2020 consid. 5.2, à propos de zones réservées, mesures conservatoires facilitant une analyse globale). b)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arrêt TF 1C_626/2019 du 8 octobre 2020 consid. 3.1; 1C_277/2020 du 27 août 2020 consid.</w:t>
      </w:r>
    </w:p>
    <w:p>
      <w:r>
        <w:rPr>
          <w:b/>
        </w:rPr>
        <w:t>E. 6</w:t>
      </w:r>
    </w:p>
    <w:p>
      <w:r>
        <w:t>Les recourants invoquent encore qu'il y aurait un intérêt public à ne pas colloquer la parcelle n° 68 en zone réservée, dans la mesure où ils auraient développé un projet de bonne foi en engageant des dépenses importantes. Or, ce montant pourrait à leur sens être mis à la charge de l'Etat, et une saine gestion des deniers publics imposerait d'éviter cette dépense. On peine à percevoir l'intérêt public prépondérant que les recourants invoquent. Il n'y a en effet pas de doute que la réduction du surdimensionnement des zones à bâtir constitue un intérêt public important ancré dans la législation fédérale. Le seul risque lié au paiement d'une indemnité – dont il n'est de toute façon pas certain que les conditions soient réalisées – ne saurait prédominer sur la réalisation des objectifs d'aménagement du territoire définis par le législateur fédéral, sauf à leur retirer toute portée. Le grief doit donc être écarté.</w:t>
      </w:r>
    </w:p>
    <w:p>
      <w:r>
        <w:rPr>
          <w:b/>
        </w:rPr>
        <w:t>E. 7</w:t>
      </w:r>
    </w:p>
    <w:p>
      <w:r>
        <w:t>Il n'y a dès lors plus lieu d'examiner si le projet des recourants serait conforme à la réglementation communale.</w:t>
      </w:r>
    </w:p>
    <w:p>
      <w:r>
        <w:rPr>
          <w:b/>
        </w:rPr>
        <w:t>E. 8</w:t>
      </w:r>
    </w:p>
    <w:p>
      <w:r>
        <w:t>Les motifs qui précèdent entraînent le rejet des recours et la confirmation des décisions attaquées. Un émolument judiciaire serait mis à la charge des recourants, qui succombent (art. 55 LPA-VD et 4 du tarif du 28 avril 2015 des frais judiciaires et des dépens en matière administrative [TFJDA; BLV 173.36.5.1]). La Commune de Mont-la-Ville étant intervenue par le biais d'un conseil, elle a droit à des dépens,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