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AC.2020.0160 vom 9. November 2021</w:t>
      </w:r>
    </w:p>
    <w:p>
      <w:r>
        <w:t>VD Tribunal cantonal, 2021-11-09, FR</w:t>
      </w:r>
    </w:p>
    <w:p>
      <w:r>
        <w:rPr>
          <w:b/>
        </w:rPr>
        <w:t xml:space="preserve">Quelle: </w:t>
      </w:r>
      <w:r>
        <w:t>https://mcp.opencaselaw.ch/entscheid/vd_omni_AC.2020.0160</w:t>
      </w:r>
    </w:p>
    <w:p>
      <w:r>
        <w:t>FR: VD_OMNI AC.2020.0160 du 9 novembre 2021</w:t>
      </w:r>
    </w:p>
    <w:p>
      <w:r>
        <w:t>IT: VD_OMNI AC.2020.0160 del 9 novembre 2021</w:t>
      </w:r>
    </w:p>
    <w:p>
      <w:pPr>
        <w:pStyle w:val="Heading2"/>
      </w:pPr>
      <w:r>
        <w:t>Regeste</w:t>
      </w:r>
    </w:p>
    <w:p>
      <w:r>
        <w:t>A.________, B.________ c/o C.________/Département des institutions et du territoire, Municipalité du Chenit | Recours contre la mise en place d'une zone réservée cantonale sur deux parcelles non bâties bordant une vaste zone agricole d'un côté, et des parcelles bâties de l'autre, dans une commune dont la zone à bâtir est largement surdimensionnée. En l'occurrence, la mesure contestée n'apparaît pas disproportionnée, dès lors qu'on ne saurait exclure qu'il soit nécessaire, dans le cadre de la révision du plan des zones communal, de déclasser les parcelles en cause. Rappel de la jurisprudence selon laquelle une zone réservée cantonale peut être instaurée sur des parcelles que la commune entend maintenir en zone à bâtir. Recours rejeté.</w:t>
      </w:r>
    </w:p>
    <w:p>
      <w:pPr>
        <w:pStyle w:val="Heading2"/>
      </w:pPr>
      <w:r>
        <w:t>Erwägungen</w:t>
      </w:r>
    </w:p>
    <w:p>
      <w:r>
        <w:rPr>
          <w:b/>
        </w:rPr>
        <w:t>E. 1</w:t>
      </w:r>
    </w:p>
    <w:p>
      <w:r>
        <w:t>a) La décision attaquée, par laquelle la Cheffe du département a approuvé une zone réservée cantonale, peut faire l’objet d’un recours de droit administratif au Tribunal cantonal (art. 92 ss de la loi du 28 octobre 2008 sur la procédure administrative [LPA-VD; BLV 173.36]). Les recourantes, A.________ en tant que propriétaire concernée et la société B.________ SA (anciennement F.________ SA) en tant que promettant acquéreur, auteures d’une opposition commune levée au terme de la procédure devant l’autorité précédente, ont manifestement qualité pour recourir en application de l’art. 75 al. 1 let. a LPA-VD. Au surplus, le recours a été interjeté en temps utile (art. 95 LPA-VD) et satisfait aux autres conditions formelles de recevabilité (art. 79 al. 1 LPA-VD, applicable par renvoi de l’art. 99 LPA-VD), de sorte qu’il y a lieu d’entrer en matière sur le fond.</w:t>
      </w:r>
    </w:p>
    <w:p>
      <w:r>
        <w:rPr>
          <w:b/>
        </w:rPr>
        <w:t>E. 2</w:t>
      </w:r>
    </w:p>
    <w:p>
      <w:r>
        <w:t>Les recourantes font valoir que la tenue d'une inspection locale permettrait, au besoin, de procéder à des constatations relatives à l'environnement de la parcelle n° 1031. a) Le droit d'être entendu, tel qu'il est garanti par les art. 29 al. 2 Cst.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Devant le tribunal, la procédure est en principe écrite (art. 27 al. 1 LPA-VD).  Toutefois, lorsque les besoins de l'instruction l'exigent, l'autorité peut tenir une audience (art. 27 al. 2 LPA-VD) et recourir à une inspection locale (art. 29 al. 1 let. b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En l’espèce, les éléments figurant au dossier, ainsi que les vues aériennes disponibles sur le site du Guichet cartographique cantonal, permettent au tribunal de se faire une idée complète et précise des faits pertinents et de la configuration des lieux.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Est litigieuse la mise en place d'une zone réservée cantonale sur les parcelles n os 1031 et 3288 de la commune du Chenit, en relation avec la révision du plan d'affectation communal visant à satisfaire aux exigences découlant de la loi fédérale du 22 juin 1979 sur l'aménagement du territoire (LAT; RS 700) et du PDCn. a) aa)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de la loi du 4 décembre 1985 sur l'aménagement du territoire et les constructions (LATC; BLV 700.11) prévoit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Quant à l'art. 134 al. 1 let. a LATC, il prévoit que dans les communes ayant un plan d'affectation et un règlement non conformes aux dispositions de la loi, ce plan et ce règlement s'appliquent avec la restriction suivante: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(arrêt TF 1C_218/2020 du 23 juillet 2021 consid. 3.1.1; arrêt CDAP AC.2020.0337/AC.2020.0345 du 30 juin 2021 consid. 3a/bb et les références citées).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S'il faut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 TF 1C_218/2020 précité consid. 3.1.1 et les références citées). La mesure contestée constitue la première étape de ce processus obligatoire.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(arrêts TF 1C_267/2019 du 5 mai 2020 consid. 5.1; 1C_518/2019 du 8 juillet 2020 consid. 5.1; arrêt CDAP AC.2020.0109 précité consid. 2c).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d'affectation (cf. arrêt CDAP AC.2020.0109 précité consid. 2e et les références citées). Enfin, la jurisprudence considère qu'il convient de confirmer la zone réservée projetée si la possibilité d'un déclassement peut raisonnablement être prise en considération dans le cadre de la future révision du plan général d'affectation (cf. arrêt CDAP AC.2020.0337/AC.2020.0345 précité consid. 5b; AC.2019.0384/AC.2019.0385 du 2 décembre 2020 consid. 3 et les références citées). cc) Dans le canton de Vaud, la question de l'adaptation des zones à bâtir aux besoins prévisibles pour les quinze années suivantes, au sens de l'art. 15 LAT, a été traitée en particulier par la mesure A11 du PDCn. Ce plan est entré en vigueur 1 er août 2008 et a par la suite fait l'objet de plusieurs adaptations, la 4 ème adaptation bis, actuellement en vigueur, ayant été approuvée le 20 décembre 2019 par le Conseil fédéral.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(mesure A11; cf. également AC.2019.0384/AC.2019.0385 précité consid. 2b/bb). La 4 ème adaptation du PDCn a modifié l'année de référence en la repoussant de 2008 à 2015, étendu l'horizon de planification à 2036 et fixé le taux de croissance à 0,75% pour les villages et quartiers hors centre (mesure A11).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du Chenit, doivent redimensionner leurs zones à bâtir, doivent réviser leurs plans d'affectation et soumettre leur projet à l'approbation du canton au plus tard cinq ans après l'adoption du PDCn par le Grand Conseil (à savoir en juin 2022). Selon la mesure A11,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(cf. AC.2019.0384/AC.2019.0385 précité consid. 2b/bb). La fiche d'application de la DGTL de juin 2021 intitulée " Comment traiter les zones à bâtir d'habitation et mixtes excédant les besoins à 15 ans ou peu adéquates pour le développement? "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b) aa) En l'espèce, les recourantes ne contestent pas que la zone à bâtir de la commune du Chenit, telle que définie par le plan des zones de 1986, est largement surdimensionnée. Aux termes de la décision attaquée, dite zone à bâtir présente en effet une capacité d'accueil hors centre de 1'511 habitants alors que le potentiel de croissance pour 2036 est de 304 habitants, le surdimensionnement s'élevant ainsi à 1'207 habitants. Dans ces conditions, l'autorité communale a l'obligation de réviser sa planification dans un délai échéant au mois de juin 2022, conformément au PDCn et à l'art. 15 al. 2 LAT. On se trouve ainsi dans une situation où une adaptation de la planification s'impose, au sens de l'art. 27 al. 1 LAT; l'intention de la commune de satisfaire à cette obligation ressort d'ailleurs clairement du fait qu'elle a instauré une zone réservée communale et qu'elle entamé le processus de révision de son plan des zones. La mise en place de la zone réservée litigieuse est dès lors justifiée dans son principe afin de ne pas rendre plus difficiles, voire impossibles, de futurs déclassements ou réaffectations et de garantir le redimensionnement de la zone à bâtir. bb) Se pose toutefois la question de savoir si la possibilité d'un déclassement ou d'une diminution des droits à bâtir des parcelles n os 1031 et 3288 peut raisonnablement être prise en considération dans le cadre de la révision du plan des zones communal. Si tel est le cas, la zone réservée cantonale portant sur ces deux parcelles doit être confirmée. aaa) En substance, les recourantes font valoir que l'actuelle parcelle n° 1031 se trouverait dans un secteur très largement bâti et qu'il serait dès lors disproportionné de l'inclure dans la zone réservée en question. Elles exposent à cet égard que dite parcelle présenterait une situation "en dent creuse", soit de brèche dans un tissu bâti continu, qui demanderait typiquement à être comblée dans une logique de densification. Elle se trouverait en effet à proximité immédiate d'une zone qu'on pourrait rapprocher d'un "centre" au sens commun du terme, accueillant différentes infrastructures publiques (telles qu'une école, une garderie, un arrêt de bus, des établissements publics et des commerces), ainsi que de nombreux emplois. En outre, visuellement, la construction envisagée permettrait de "fermer" le front bâti compact existant. A l'appui de leur argumentation, les recourantes soutiennent que la situation de la parcelle n° 1031 serait similaire à celle de la parcelle n° 1892 de la commune du Chenit, concernant laquelle le tribunal a retenu qu'une zone réservée cantonale se ne justifiait pas (cause AC.2019.0384/AC.2019.0385). bbb) En l'espèce, il ressort des vues aériennes disponibles sur le site du Guichet cartographique cantonal que les parcelles n os 1031 et 3288, concernées par la zone réservée litigieuse, se trouvent à l'extrémité d'une bande de territoire bâti, qui s'étend entre Le Sentier et L'Orient. Les mêmes images permettent en outre de constater que les parcelles en cause sont attenantes, du côté sud et est, à une vaste zone agricole et de forêts, pour ainsi dire libre de constructions (notamment composée des parcelles n os 1038, 1032, 3214, 1039 et 1113). On observe par ailleurs que les parcelles n os 1031 et 3288 sont - elles aussi - libres de constructions et présentent, ensemble, une surface totale non négligeable s'élevant à près de 4'000 m 2 (3'957 m 2 ). Ainsi, les parcelles en cause ne se trouvent pas dans une situation de "dent creuse", comme le soutiennent les recourantes. On constate au demeurant que d'autres parcelles sises dans le même secteur ont été incluses dans la zone réservée communale (par exemple, les parcelles n os 642, 910, 908, 907, 906 et 3260). Au vu de ces éléments et du surdimensionnement important que présente la zone à bâtir communale, on ne saurait totalement exclure qu'il soit nécessaire, dans le cadre de la révision du plan des zones communal, de déclasser les parcelles n os 1031 et 3288, et ce, quand bien même elles bordent des côtés nord et ouest des parcelles construites (n os 1030, 1036, 1037, 1028), qui elles, jouxtent la rue Centrale. Les parcelles n os 1031 et 3288 paraissent du reste, a priori , plus appropriées à un dézonage éventuel que des parcelles qui seraient, par hypothèse, plus éloignées du vaste secteur agricole évoqué ci-avant. Le fait que la commune entende maintenir les parcelles n os 1031 et 3288 en zone à bâtir - comme cela ressort de la zone réservée communale instaurée et des déterminations déposées dans la présente procédure - n'est au demeurant pas déterminant, puisque rien ne permet d'affirmer - en l'état - que la surface de la zone réservée communale suffise aux déclassements nécessaires. Sur ce point, on relève d'ailleurs que, dans son examen préalable du 11 septembre 2020, la DGTL a préavisé négativement le projet de nouveau plan d'affectation de la commune, au motif notamment que le dimensionnement des zones à bâtir ne serait pas conforme au cadre légal. En tout état, il convient de rappeler que la mise en place d'une zone réservée constitue une mesure conservatoire, qui n'exclut pas le maintien des parcelles concernées en zone constructible, si au terme de la procédure de révision du plan des zones, il apparaît qu'un déclassement n'est pas nécessaire à cet endroit. Enfin, la présente affaire se distingue, à tout le moins sur deux points, de l'affaire ayant fait l'objet de la cause AC.2019.0384/AC.2019.0385 invoquée par les recourantes , dans laquelle le tribunal a annulé la décision du département approuvant une zone réservée cantonale sur la parcelle n° 1892. D'une part, la zone réservée cantonale qui fait l'objet de la présente cause porte sur une surface de 3'957 m 2 , soit une surface nettement supérieure à la surface de 1'794 m 2 dont il était question s'agissant de la parcelle n° 1892. D'autre part, les projets de construction envisagés sur la parcelle n° 1031, à savoir deux villas individuelles et un immeuble de douze appartements, sont nettement plus importants que le projet de villa individuelle prévu sur la parcelle n° 1892 et, partant, plus susceptibles d'entraver le redimensionnement du territoire constructible communal. Les situations en cause sont donc différentes, de sorte qu'un traitement différencié se justifie. En conclusion, dans le cas d'espèce, le département pouvait considérer que l'établissement d'une zone réservée cantonale sur les parcelles n os 1031 et 3288 était nécessaire pour permettre à la commune de réviser sereinement sa planification et d'éviter que des projets de construction ne risquent d'entraver sa liberté d'action. En d'autres termes, la mesure incriminée respecte le principe de la proportionnalité. Partant, la décision attaquée est conforme aux exigences légales et jurisprudentielles rappelées ci-avant et peut être confirmée.</w:t>
      </w:r>
    </w:p>
    <w:p>
      <w:r>
        <w:rPr>
          <w:b/>
        </w:rPr>
        <w:t>E. 4</w:t>
      </w:r>
    </w:p>
    <w:p>
      <w:r>
        <w:t>Enfin, il ne se justifie pas d'entrer en matière sur la question du complément que les recourantes souhaiteraient voir ajouté dans le dispositif de la décision attaquée, relatif à l'engagement que le SDT (désormais DGTL) aurait pris de se prononcer " sur le maintien ou non de la zone réservée cantonale sur la base de la mise à l'enquête du plan d'affectation communal en tenant compte de la situation individuelle et concrète de la parcelle concernée ". Cette question excède en effet l'objet du litige, qui porte sur la seule question de savoir si les conditions posées à l'établissement d'une zone réservée cantonale portant sur les parcelles n os 1031 et 3288 sont respectées.</w:t>
      </w:r>
    </w:p>
    <w:p>
      <w:r>
        <w:rPr>
          <w:b/>
        </w:rPr>
        <w:t>E. 5</w:t>
      </w:r>
    </w:p>
    <w:p>
      <w:r>
        <w:t>Les considérants qui précèdent conduisent au rejet du recours et à la confirmation de la décision attaquée. Vu le sort de la cause, les frais sont mis à la charge des recourantes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