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AC.2020.0152 vom 18. März 2021</w:t>
      </w:r>
    </w:p>
    <w:p>
      <w:r>
        <w:t>VD Tribunal cantonal, 2021-03-18, FR</w:t>
      </w:r>
    </w:p>
    <w:p>
      <w:r>
        <w:rPr>
          <w:b/>
        </w:rPr>
        <w:t xml:space="preserve">Quelle: </w:t>
      </w:r>
      <w:r>
        <w:t>https://mcp.opencaselaw.ch/entscheid/vd_omni_AC.2020.0152</w:t>
      </w:r>
    </w:p>
    <w:p>
      <w:r>
        <w:t>FR: VD_OMNI AC.2020.0152 du 18 mars 2021</w:t>
      </w:r>
    </w:p>
    <w:p>
      <w:r>
        <w:t>IT: VD_OMNI AC.2020.0152 del 18 marzo 2021</w:t>
      </w:r>
    </w:p>
    <w:p>
      <w:pPr>
        <w:pStyle w:val="Heading2"/>
      </w:pPr>
      <w:r>
        <w:t>Regeste</w:t>
      </w:r>
    </w:p>
    <w:p>
      <w:r>
        <w:t>A._________ SA/Municipalité de St-Légier-La Chiésaz | Refus d'un permis de construire fondé à juste titre sur l'art. 49 LATC dès lors que, au moment où la municipalité a statué, une zone réservée avait été mise à l'enquête publique (consid. 2). Il n'existe pas de circonstances particulières qui auraient justifié que la municipalité renonce à appliquer l'art. 49 LATC en application du principe de la bonne foi (consid. 3).</w:t>
      </w:r>
    </w:p>
    <w:p>
      <w:pPr>
        <w:pStyle w:val="Heading2"/>
      </w:pPr>
      <w:r>
        <w:t>Erwägungen</w:t>
      </w:r>
    </w:p>
    <w:p>
      <w:r>
        <w:rPr>
          <w:b/>
        </w:rPr>
        <w:t>E. 1</w:t>
      </w:r>
    </w:p>
    <w:p>
      <w:r>
        <w:t>La recourante invoque une violation du principe de la bonne foi. Elle relève que, après avoir annoncé le 16 octobre 2018 dans le cadre de la 1 ère procédure devant la CDAP que le dossier reçu le 12 juillet 2018 allait être mis à l'enquête publique, la municipalité a temporisé 16 mois avant de s'exécuter. Ce faisant, l'autorité intimée aurait adopté un comportement contradictoire et violé le principe de la confiance, non seulement par rapport à A.________, mais également par rapport au Tribunal cantonal. La municipalité aurait abusé de ses prérogatives en multipliant les demandes de modifications mineures du projet qui n'étaient pas nécessaires pour mettre le dossier à l'enquête publique, ceci dans le but de gagner du temps afin de pouvoir ensuite invoquer les art. 47 ou 49 LATC en relation avec le projet de zone réservée. Selon la recourante, ceci n'aurait pas été possible si le dossier avait été soumis à l'enquête publique en automne 2018 puisqu'il s'est passé plus d'une année entre la fin de l'enquête publique et le vote du conseil communal (art. 47 al. 2 LATC). La municipalité aurait abusé de procédés dilatoires pour éviter ce problème de délai, ceci pour faire obstacle à un projet qui correspond de surcroît aux indications qu'elle avait initialement données à la constructrice. Ceci constituerait un abus de droit et la municipalité ne pourrait pas valablement invoquer l'art. 49 LATC puisque c'est elle-même qui a violé la loi en ne soumettant pas rapidement le dossier à l'enquête publique à l'automne 2018, comme elle l'avait annoncé au Tribunal cantonal.</w:t>
      </w:r>
    </w:p>
    <w:p>
      <w:r>
        <w:rPr>
          <w:b/>
        </w:rPr>
        <w:t>E. 2</w:t>
      </w:r>
    </w:p>
    <w:p>
      <w:r>
        <w:t>L'autorité en charge du plan est tenue de le mettre à l'enquête publique dans les 14 mois qui suivent la décision de refus du permis de construire, puis d'adopter son projet dans les 12 mois suivant la fin de l'enquête publique.</w:t>
      </w:r>
    </w:p>
    <w:p>
      <w:r>
        <w:rPr>
          <w:b/>
        </w:rPr>
        <w:t>E. 3</w:t>
      </w:r>
    </w:p>
    <w:p>
      <w:r>
        <w:t>Il convient encore d'examiner si, vu les circonstances particulières du cas d'espèce, l'application du principe de la bonne foi imposait que la municipalité renonce à invoquer l'art. 49 LATC pour faire obstacle au permis de construire requis. a) Selon l'art. 5 al. 3 Cst., les organes de l’État et les particuliers doivent agir de manière conforme aux règles de la bonne foi. De ce principe général découle notamment le droit fondamental du particulier à la protection de sa bonne foi dans ses relations avec les autorités, consacré à l'art. 9 Cst. in fine (cf. TF 2C_78/2019 du 20 septembre 2019 consid. 8.1). Au sens large, le principe de la bonne foi (ou principe de la confiance) exige que l'administré puisse se fier aux assurances et aux attentes créées par le comportement de l'administration; il est dans ce sens étroitement lié au principe de la sécurité du droit (cf. arrêt AC.2020.0073 du 12 janvier 2021 consid. 3b/aa; Thierry Tanquerel, Manuel de droit administratif, 2 e éd., Genève/Zurich 2018, n. 568 p. 203 et les références). Ce principe suppose que les rapports juridiques se fondent et s'organisent sur une base de loyauté et sur le respect de la parole donnée. Le principe de la loyauté impose aux organes de l'Etat ainsi qu'aux particuliers d'agir conformément aux règles de la bonne foi. Cela implique notamment qu'ils s'abstiennent d'adopter un comportement contradictoire ou abusif (ATF 136 I 254 consid. 5.2). b) En l'occurrence, on constate que, dès le mois de mars 2016, la municipalité a attiré l'attention des propriétaires de la parcelle n° 1204 sur le fait que la commune devait redimensionner ses zones à bâtir, qui étaient largement supérieures au besoin des 15 prochaines années, et sur le fait que la parcelle n° 1204 se situait dans un espace à urbaniser sensible du point de vue paysager (cf. courrier à Me B.________ du 9 mars 2016). Il est vrai que, par la suite, soit à la fin 2016, l'autorité intimée et la recourante s'étaient apparemment mises d'accord sur la réalisation d'un projet de construction dans la partie inférieure de la parcelle correspondant au projet litigieux. Cela étant, il ressort du dossier que le projet a ensuite été soumis à la CCU, qui en a préconisé une refonte complète (cf. courriel de Me B.________ au bureau technique du 20 décembre 2016, qui relève que cette démarche va prendre du temps). Ultérieurement, la commune a poursuivi ses réflexions au sujet du redimensionnement de ses zones à bâtir et de la mise en place d'une zone réservée. Dès le printemps 2017, la recourante a été informée du fait que l'autorité intimée envisageait d'inclure la parcelle n° 1204 dans la zone réservée communale en voie d'élaboration. La municipalité l'a encore clairement confirmé dans un courrier adressé à son conseil le 29 mars 2018. Dès ce moment-là, la recourante devait s'attendre à ce que la municipalité refuse d'autoriser un projet de construction sur la parcelle n° 1204 en invoquant l'art. 77 LATC (actuellement 47 LATC), ce qu'elle a au demeurant fait lorsqu'un projet a été déposé au mois de juillet 2018. Il est vrai que la municipalité a probablement eu tort de refuser dans un premier temps la mise à l'enquête du projet présenté au mois de juillet 2018, ce qu'elle a admis par la suite lorsque la recourante a déféré sa décision devant la CDAP. Cela étant, même si le projet avait immédiatement été mis à l'enquête publique durant l'été ou au début de l'automne 2018, il aurait certainement été refusé en application de l'art. 47 LATC, ou plus probablement de l'art. 49 LATC dès lors que la zone réservée a été mise à l'enquête dès le 2 octobre 2018. On relève également que la question de savoir si l'autorité intimée a tardé à soumettre à l'enquête publique le projet après avoir informé le juge instructeur de la CDAP le 16 octobre 2018 qu'elle allait agir dans ce sens n'est pas déterminante. En effet, à ce moment-là, la zone réservée avait été mise à l'enquête publique et le projet se serait de toute manière heurté à l'art. 49 LATC. On relève au surplus que, dans l'hypothèse d'une enquête publique mise en œuvre dès le moment où la municipalité a informé le tribunal qu'elle rapportait son refus initial (soit le 16 octobre 2018), le refus du permis de construire ne serait pas intervenu avant la fin du mois de novembre 2018, compte tenu de la durée de 30 jours de l'enquête publique. Partant, le délai de l'art. 49 al. 2 LATC aurait été respecté puisque la zone réservée a été adoptée par le Conseil communal le 4 novembre 2019 et la recourante n'aurait pas été en mesure de renouveler sa demande de permis de construire en se fondant sur cette disposition. c) De manière générale, on ne saurait considérer que la municipalité aurait eu comportement contradictoire, abusif ou déloyal qui permettrait à la recourante d'invoquer une violation du principe de la bonne foi. Certes, on aurait pu théoriquement concevoir que le projet, déposé le 12 juillet 2018, soit mis à l'enquête publique durant l'été et le début de l'automne 2018 avec une décision de refus de permis de construire rendue avant le 2 octobre 2018, ce qui aurait impliqué un refus fondé sur l'art. 47 LATC (et non pas 49 LATC). Dans cette hypothèse, comme le relève la recourante, l'adoption de la zone réservée le 4 novembre 2019 ne serait pas intervenue dans le délai d'une année suivant la fin de l'enquête publique prévu par l'art. 47 al. 2 LATC et la recourante aurait pu renouveler sa demande de permis de construire (art. 47 al. 3 LATC). On ne saurait toutefois déduire du seul fait que le projet n'a pas été mis à l'enquête publique à bref délai après le dépôt du dossier le 12 juillet 2018 un comportement abusif ou déloyal de la municipalité, qui violerait le principe de la bonne foi au point de ne plus lui permettre d'invoquer l'art. 49 LATC lorsqu'elle s'est prononcée sur les demandes de permis de construire le 18 mai 2020. Certes, l'art. 114 al. 1 LATC prévoit un délai de 40 jours depuis le dépôt d'une demande de permis de construire pour accorder ou refuser le permis. Il s'agit toutefois d'un délai d'ordre (cf. cf. Bovay/Didisheim/Sulliger/Thonney, Droit fédéral et vaudois de la construction, LAT - OAT - LATC -  RLATC annotés, Bâle, 4 e éd., 2010, p. 450). Au surplus, ce délai ne part que dès le dépôt d'une demande de permis conforme aux exigences légales et réglementaires et des pièces qui doivent l'accompagner. Or, il ressort du dossier que la demande déposée le 12 juillet 2018 par l'architecte de la recourante n'était pas complète et que plusieurs documents ont dû être requis. Ces documents complémentaires ont dû être demandés à plusieurs reprises et la recourante a mis à chaque fois plusieurs mois avant de les déposer. Quoi qu'il en soit, on ne saurait considérer que l'autorité communale aurait fait preuve d'un manque de diligence particulièrement grave dans le traitement du dossier de la recourante, qui imposerait qu'elle renonce à invoquer l'art. 49 LATC pour faire obstacle au permis de construire requis. 4.                Il ressort de ce qui précède que c'est à juste titre que la municipalité a refusé le permis de construire en se fondant sur l'art. 49 LATC. Partant, le recours doit être rejeté et la décision attaquée être confirmée. Vu le sort du recours, les frais seront mis à la charge de la recourante. Celle-ci versera en outre des dépens à la Commune de Saint-Légier-La Chiésaz, qui a procédé par l'intermédiaire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