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AC.2020.0135 vom 11. November 2020</w:t>
      </w:r>
    </w:p>
    <w:p>
      <w:r>
        <w:t>VD Tribunal cantonal, 2020-11-11, FR</w:t>
      </w:r>
    </w:p>
    <w:p>
      <w:r>
        <w:rPr>
          <w:b/>
        </w:rPr>
        <w:t xml:space="preserve">Quelle: </w:t>
      </w:r>
      <w:r>
        <w:t>https://mcp.opencaselaw.ch/entscheid/vd_omni_AC.2020.0135</w:t>
      </w:r>
    </w:p>
    <w:p>
      <w:r>
        <w:t>FR: VD_OMNI AC.2020.0135 du 11 novembre 2020</w:t>
      </w:r>
    </w:p>
    <w:p>
      <w:r>
        <w:t>IT: VD_OMNI AC.2020.0135 del 11 novembre 2020</w:t>
      </w:r>
    </w:p>
    <w:p>
      <w:pPr>
        <w:pStyle w:val="Heading2"/>
      </w:pPr>
      <w:r>
        <w:t>Regeste</w:t>
      </w:r>
    </w:p>
    <w:p>
      <w:r>
        <w:t>A.________, B.________/Municipalité d'Echallens, C.________, D.________, E.________ | Qualité pour recourir déniée aux recourants, qui ne prétendent pas être propriétaires ou locataires d'immeubles situés à proximité du quartier où prendrait place le projet litigieux. Recours irrecevable. Recours au Tribunal fédéral déclaré irrecevable par arrêt du 11 novembre 2020 (1C_622/2020).</w:t>
      </w:r>
    </w:p>
    <w:p>
      <w:pPr>
        <w:pStyle w:val="Heading2"/>
      </w:pPr>
      <w:r>
        <w:t>Erwägungen</w:t>
      </w:r>
    </w:p>
    <w:p>
      <w:r>
        <w:rPr>
          <w:b/>
        </w:rPr>
        <w:t>E. 1</w:t>
      </w:r>
    </w:p>
    <w:p>
      <w:r>
        <w:t>Se pose en premier lieu la question de la qualité pour agir des recourants. a) aa)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bb) 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arrêt TF 1C_654/2017 du 3 octobre 2018 consid. 2.2; A EMISEGGER /H AAG ,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arrêt TF 1C_654/2017 du 3 octobre 2018 consid. 2.2). D'une manière générale, la jurisprudence et la doctrine n'admettent toutefois que de manière relativement stricte la présence d'un intérêt propre et direct lorsqu'un tiers désire recourir contre une décision dont il n'est pas le destinataire (ATF 131 II 649 consid. 3.1; 124 II 499 consid. 3b, et les nombreuses références citées). Dans un ouvrage consacré précisément à ces questions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arrêts CDAP AC.2018.0296 du 14 janvier 2019 consid. 1b; AC.2018.0073 du 27 mars 2018 consid. 1a). S'est enfin vu refuser la qualité pour recourir un voisin distant de 50 m du hangar agricole litigieux, dans la mesure où une augmentation du bruit et du trafic sur la route cantonale bordant le secteur ne pourrait être que faible, voire inexistante (arrêt 1C_243/2015 du 2 septembre 2015). b) En l'occurrence, les recourants – qui ne prétendent pas être propriétaires ou locataires d'immeubles situés à proximité du quartier où prendrait place le projet litigieux – ne sont manifestement pas atteints par la décision attaquée et ne disposent donc d'aucun intérêt digne de protection à l'annulation de celle-ci. Ils n'ont pas qualité pour agir. Seul le recourant A.________ est propriétaire de plusieurs parcelles sises sur la commune de Froideville, laquelle est toutefois distante de plusieurs kilomètres de la commune d'Echallens, sur le territoire de laquelle la construction litigieuse est prévue. c) La qualité pour recourir doit en conséquence être déniée aux recourants. A cela s'ajoute que l'acte de recours est également irrecevable faute de motivation suffisante (art. 79 al. 1 en relation avec l'art. 99 LPA-VD).</w:t>
      </w:r>
    </w:p>
    <w:p>
      <w:r>
        <w:rPr>
          <w:b/>
        </w:rPr>
        <w:t>E. 2</w:t>
      </w:r>
    </w:p>
    <w:p>
      <w:r>
        <w:t>Vu ce qui précède, le recours doit être déclaré irrecevable. Compte tenu de l'issue de la cause, des frais seront mis à la charge des recourants (art. 49 al. 1, 91 et 99 LPA-VD), qui verseront en outre des dépens à la municipalité, qui a procédé par l'intermédiaire d'un mandataire professionnel (cf. art. 55, 91 et 99 LPA-VD). Pour le surplus,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