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AC.2020.0133 vom 5. Februar 2021</w:t>
      </w:r>
    </w:p>
    <w:p>
      <w:r>
        <w:t>VD Tribunal cantonal, 2021-02-05, FR</w:t>
      </w:r>
    </w:p>
    <w:p>
      <w:r>
        <w:rPr>
          <w:b/>
        </w:rPr>
        <w:t xml:space="preserve">Quelle: </w:t>
      </w:r>
      <w:r>
        <w:t>https://mcp.opencaselaw.ch/entscheid/vd_omni_AC.2020.0133</w:t>
      </w:r>
    </w:p>
    <w:p>
      <w:r>
        <w:t>FR: VD_OMNI AC.2020.0133 du 5 février 2021</w:t>
      </w:r>
    </w:p>
    <w:p>
      <w:r>
        <w:t>IT: VD_OMNI AC.2020.0133 del 5 febbraio 2021</w:t>
      </w:r>
    </w:p>
    <w:p>
      <w:pPr>
        <w:pStyle w:val="Heading2"/>
      </w:pPr>
      <w:r>
        <w:t>Regeste</w:t>
      </w:r>
    </w:p>
    <w:p>
      <w:r>
        <w:t>A.________/Municipalité de Montreux | Application du droit dans le temps, suite à l'annulation par le Tribunal fédéral du PGA provisoirement en vigueur. Il convient d'appliquer l'ancien règlement, car l'annulation du nouveau PGA entraîne l'annulation de l'abrogation des plans antérieurs. En vertu de l'ancien règlement, il n'y a pas lieu de procéder à la révision de la mention LATC visant la parcelle du recourant. Le recourant conclut à ce qu'il soit constaté que si la commune avait statué dans un délai raisonnable, alors la mention aurait été rectifiée. Faute d’intérêt suffisant (notamment en lien avec une action en responsabilité), cette conclusion est déclarée irrecevable. Pas d'inégalité de traitement par rapports aux propriétaires qui ont obtenu des permis de construire en vertu du du PGA provisoirement en vigueur.</w:t>
      </w:r>
    </w:p>
    <w:p>
      <w:pPr>
        <w:pStyle w:val="Heading2"/>
      </w:pPr>
      <w:r>
        <w:t>Erwägungen</w:t>
      </w:r>
    </w:p>
    <w:p>
      <w:r>
        <w:rPr>
          <w:b/>
        </w:rPr>
        <w:t>E. 1</w:t>
      </w:r>
    </w:p>
    <w:p>
      <w:r>
        <w:t>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 recourant a conclu un contrat de vente relatif à la parcelle n° 12593. D ans la mesure où le contrat de vente prévoit que le recourant a un droit à un montant supplémentaire en cas de dégrèvement total ou partiel de la mention LATC, celui-ci conserve néanmoins un intérêt à recourir et à faire annuler la décision attaquée. Il n'y a en outre pas lieu de considérer que les arrêts du Tribunal fédéral du 16 avril 2020 et l'annulation subséquente du PGA rendent le recours sans objet. Ces faits nouveaux doivent être pris en compte afin de déterminer quel est le règlement communal applicable à la présente cause, ce qui aura un effet sur l'admission ou le rejet du recours mais non sur sa recevabilité. Le présent recours a par ailleurs été déposé dans le délai légal (art. 95 LPA-VD) et il respecte les exigences formelles de l'art. 79 LPA-VD (par renvoi de l'art. 99 LPA-VD). Il y a donc lieu d'entrer en matière sur le fond. b) Pour ce qui concerne la conclusion subsidiaire du recourant tendant à ce qu'une décision en constatation soit rendue, il est renvoyé au considérant 4 ci-après.</w:t>
      </w:r>
    </w:p>
    <w:p>
      <w:r>
        <w:rPr>
          <w:b/>
        </w:rPr>
        <w:t>E. 2</w:t>
      </w:r>
    </w:p>
    <w:p>
      <w:r>
        <w:t>Le recourant requiert la production de l'ensemble des décisions rendues par l'autorité intimée sur la base du nouveau PGA.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En l'occurrence, le Tribunal n'a pas de raison de mettre en doute l'affirmation de l'autorité intimée selon laquelle il n'y a pas eu d'autre cas de demande de modification de restriction LATC, entre l'entrée en vigueur du nouveau PGA et son annulation par le Tribunal fédéral. Quant aux permis de construire délivrés, il est vraisemblable qu'il y en a eu un certain nombre. À cet égard non plus, le Tribunal n'a pas de raison de mettre en doute l'affirmation de l'autorité intimée selon laquelle la délivrance des permis de construire a été immédiatement stoppée à réception des arrêts du Tribunal fédéral, y compris pour les affaires qui avaient déjà fait l'objet d'une enquête publique. Quant à l'importance des projets de construction autorisés, elle n'est pas déterminante. Au vu des questions juridiques à traiter, à savoir le droit applicable et le principe de l'égalité de traitement, il apparaît superflu de procéder à la mesure d'instruction requise, sans qu’il n’en résulte de violation du droit d’être entendu du recourant.</w:t>
      </w:r>
    </w:p>
    <w:p>
      <w:r>
        <w:rPr>
          <w:b/>
        </w:rPr>
        <w:t>E. 3</w:t>
      </w:r>
    </w:p>
    <w:p>
      <w:r>
        <w:t>Le recourant a formulé une demande fondée sur le nouveau RPGA, alors provisoirement en vigueur (soit le 7 février 2019), et également en force au moment auquel l'autorité a statué (le 6 mai 2020) et au moment du dépôt du recours (le 29 mai 2020). Or, suite aux arrêts rendus par le Tribunal fédéral le 16 avril 2020, notifiés le 3 juin 2020, la situation juridique a évolué, puisque le nouveau RPGA a été annulé et que c'est à nouveau l'ancien règlement communal qui s'applique. Il se pose ainsi la question du droit applicable devant le Tribunal de céans. a) Selon la jurisprudence du Tribunal fédéral, la légalité d'un acte administratif (y compris une autorisation de construire) doit en principe être examinée en fonction de l'état du droit prévalant au moment de son prononcé, sous réserve de dispositions transitoires; en conséquence, l'autorité de recours applique le droit en vigueur au jour où l'autorité administrative a statué (ATF 144 II 326 consid. 2.1.1). Il existe néanmoins des situations où la jurisprudence considère au contraire que l'autorité de recours doit appliquer le droit en vigueur au moment où celle-ci statue, c'est-à-dire lorsque l'application immédiate du nouveau droit répond à un intérêt public prépondérant (ATF 141 II 393 consid. 2.4 et les arrêts cités). b) Il n'est pas aisé d'appliquer ces principes dans le cas particulier. Il faut notamment relever que le droit en vigueur au jour où l'autorité administrative a statué – à savoir les nouveaux PGA et RPGA – pouvait encore être annulé par le Tribunal fédéral (qui avait d'ailleurs déjà statué mais dont la décision n'avait pas été communiquée aux parties), dans le cadre d'une procédure ordinaire de recours en matière de droit public dirigée contre ces nouveaux instruments de planification à la suite de leur adoption. Le département cantonal avait la possibilité, sur la base de l'ancien art. 61a de la loi sur l'aménagement du territoire et les constructions (LATC; BLV 700.11 – cette disposition était en vigueur jusqu'au 31 août 2018), de mettre en vigueur le nouveau PGA après les arrêts du Tribunal cantonal, option qu'il a choisie. Le recours en matière de droit public au Tribunal fédéral n'ayant en règle générale pas d'effet suspensif (art. 103 al. 1 de la loi du 17 juin 2005 sur le Tribunal fédéral [LTF; RS 173.110]), cette mise en vigueur pouvait déployer ses effets jusqu'aux arrêts du Tribunal fédéral du 16 avril 2020, annulant les décisions préalables. Malgré la formulation particulière du dispositif des arrêts 1C_449/2018 et 1C_632/2018, il ressort en effet clairement des considérants que les décisions communales et cantonales d'adoption et d'approbation (préalable) du nouveau PGA ont été entièrement annulées par le Tribunal fédéral. Cela étant, il faut déduire de ces arrêts que, pour le Tribunal fédéral, le nouveau PGA n'est globalement pas conforme à la loi fédérale du 22 juin 1979 sur l'aménagement du territoire (LAT; RS 700) et que l'adaptation des anciens plans d'affectation (plan général ou plans spéciaux) aux exigences actuelles du droit fédéral doit faire l'objet d'un nouvel examen et de nouvelles décisions de la part des autorités de planification. Il paraît probable que plusieurs mesures du nouveau PGA pourront être reprises dans ce cadre. Toutefois, dès lors que ces mesures ont été annulées, elles ne sauraient avoir d'ores et déjà un effet anticipé positif (cf. ATF 100 Ia 147). On ne se trouve donc pas dans la situation de droit intertemporel où deux normes, valablement adoptées par le législateur, sont successivement en vigueur. Tant que les recours au Tribunal fédéral contre le nouveau PGA n'étaient pas traités, la question de savoir si cette planification était valable n'était pas définitivement tranchée. Il y a lieu de rappeler que le plan d'affectation a une nature mixte ou sui generis . Pour les questions d'ordre procédural, il s'inspire plutôt du régime de la décision et pour celles d'ordre matériel plutôt de celui de la norme (cf. Pierre Moor / Etienne Poltier, Droit administratif, vol. II, 3 e éd., Berne 2011, p. 524). C'est pourquoi une disposition réglementaire contenue dans un plan d'affectation peut faire l'objet d'un recours ordinaire (au Tribunal cantonal, puis au Tribunal fédéral), à l'instar d'une décision. Tant que ce contrôle juridictionnel ordinaire direct n'est pas achevé, la validité du plan d'affectation n'est pas garantie, même s'il est mis en vigueur (cf. AC.2019.0377 du 19 octobre 2020 consid. 2c, concernant précisément la commune de Montreux). d) En l'espèce, il convient d'appliquer l'ancien RPE. Il ne s'agit pas d'une réglementation récemment révisée, mais bien plutôt d'une ancienne réglementation à nouveau applicable, car l'annulation du nouveau PGA par le Tribunal fédéral entraîne l'annulation de l'abrogation des plans antérieurs. On peut déduire des arrêts du Tribunal fédéral qu'il existe un intérêt public à appliquer cette réglementation, puisque les normes du plan mis en vigueur provisoirement (celles du nouveau PGA/RPGA) ont été annulées pour violation du droit fédéral de l'aménagement du territoire. Dans ces circonstances particulières, il ne faut pas appliquer la règle principale dégagée par la jurisprudence – l'autorité de recours applique le droit en vigueur au jour où l'autorité administrative a statué – mais bien plutôt l'autre règle, qui prescrit à l'autorité de recours d'appliquer le droit en vigueur au moment où celle-ci statue (cf. AC.2019.0377 du 19 octobre 2020 consid. 2d, concernant précisément la commune de Montreux). Il n'est pas contesté qu'en vertu de l'ancien RPE, il n'y a pas de révision de la mention LATC possible, celle-ci réservant explicitement la demande de révision à un allègement des règles en vigueur. Il reste à examiner dans quelle mesure le déni de justice constaté par l'arrêt AC.2019.0238 du 14 février 2020 peut avoir une influence sur la présente cause.</w:t>
      </w:r>
    </w:p>
    <w:p>
      <w:r>
        <w:rPr>
          <w:b/>
        </w:rPr>
        <w:t>E. 4</w:t>
      </w:r>
    </w:p>
    <w:p>
      <w:r>
        <w:t>Le recourant conclut à titre subsidiaire à ce qu'il soit constaté que si la commune de Montreux avait statué dans le délai raisonnable, alors la mention "restriction LATC" de la parcelle n° 12'593 de la commune de Montreux aurait été rectifiée en ce sens qu'elle aurait été réduite de de 3'175 m2 à 1'605 m2. Il convient donc d’examiner si le recourant dispose en l’espèce d’un intérêt juridique suffisant à obtenir une décision constatatoire, notion qui se confond avec l’intérêt digne de protection au sens de l’art. 75 al. 1 let. a LPA-VD. Le recourant n'a pas motivé sa conclusion. On peut néanmoins supposer qu'il souhaite disposer d'une telle décision en constatation en relation avec des litiges pouvant avoir trait à la vente du terrain ou à une éventuelle responsabilité de la commune. Le recourant ne peut pas être suivi. En effet, selon la jurisprudence du Tribunal fédéral (ATF 126 I 144, traduit in JdT 2000 I 565 et les références citées), le seul fait d’envisager une action en dommages-intérêts contre la collectivité ne confère pas un intérêt actuel et pratique à ce que le caractère illicite de la décision soit constaté dans le cadre de la procédure administrative. Une telle procédure ne nécessite en effet pas que l’illicéité de l’acte ait été constatée auparavant (ATF 125 I 394 consid. 4b et les arrêts cités). A cela s’ajoute qu’au contraire d’autres lois sur la responsabilité des collectivités publiques (cf. par ex. art. 12 de la loi du 14 mars 1958 sur la responsabilité de la Confédération, des membres de ses autorités et de ses fonctionnaires; LRCF; RS 170.32), la loi du 16 mai 1961 sur la responsabilité de l’Etat, des communes et de leurs agents (LRECA; BLV 170.11) n’interdit pas expressément aux tribunaux civils de se prononcer sur le caractère illicite d’une décision administrative (en particulier si celle-ci n’a pas pu faire l’objet d’un recours faute d’intérêt à agir de la part du recourant, cf. AC.2015.0158 du 30 novembre 2016 consid. 2). La jurisprudence a également déjà considéré que, même si l'admission d'un recours pouvait permettre de formuler des allégations en lien avec le prix de vente d'un terrain, cela ne suffirait pas encore à fonder la qualité pour recourir de l'ancien propriétaire dans la mesure où il s'agissait d'un effet indirect de l'arrêt attaqué (arrêt TF P 912/84/1b du 4 juillet 1985 consid. 2b; pour un cas similaire dans lequel l'ancien propriétaire annonçait vouloir déposer une action en responsabilité civile contre la commune, cf. arrêt TF 1C_495/2014 du 23 février 2015 consid. 1.3). Il résulte de ce qui précède que, faute d’intérêt juridique suffisant, le recours est irrecevable dans la mesure où il conclut à ce qu'une décision en constatation soit rendue. Il n'y a ainsi pas lieu de déterminer rétroactivement quelle aurait été la position adoptée par la CDAP si elle avait eu à trancher la cause sous l'empire du RPGA provisoirement en vigueur.</w:t>
      </w:r>
    </w:p>
    <w:p>
      <w:r>
        <w:rPr>
          <w:b/>
        </w:rPr>
        <w:t>E. 5</w:t>
      </w:r>
    </w:p>
    <w:p>
      <w:r>
        <w:t>Le recourant fait valoir une violation du principe d'égalité de traitement par rapport aux propriétaires qui ont obtenu des permis de construire sur la base du nouveau PGA durant sa période de validité. a)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b) En l'espèce, le recourant estime qu'à partir du moment où la commune s'estimait en droit de se prononcer sur des demandes de permis de construire, elle était parfaitement légitimée à se prononcer sur la modification de la restriction LATC, qui constituait le préalable indispensable à toute demande de permis de construire portant sur la parcelle n° 12593. L'autorité intimée soutient que la délivrance de permis de construire ne pourrait pas être comparée à la radiation de mentions LATC. En effet, alors que les permis de construire doivent être délivrés sur la base d'une réglementation en vigueur, les mentions LATC dépendent des droits à bâtir rattachés définitivement à des parcelles, ce qui n'était pas le cas aussi longtemps que le nouveau PGA n'était pas entré en vigueur. Le registre foncier devant refléter la vérité et l'exactitude des droits liées à une parcelle, la mention litigieuse ne pouvait pas être modifiée avant l'entrée en vigueur définitive du PGA. L'appréciation de l'autorité intimée doit être confirmée. En effet, même si la modification de la mention figurant au registre foncier constituait en l'occurrence le préalable à une demande de permis de construire, cela ne signifie pas pour autant que les deux procédures sont semblables. C'est ainsi sans violer le principe de l'égalité de traitement que l'autorité intimée a choisi de les traiter différemment. Il pourrait y avoir violation du principe de l'égalité de traitement si l'autorité intimée était entrée en matière sur d'autres demandes de modification de restriction LATC. Dans sa réponse au recours, la municipalité a indiqué que tel n'a pas été le cas et le tribunal de céans n'a pas de raison de mettre en doute cette affirmation. Le recourant soutient également qu'à supposer que l'on considère qu'au vu du résultat du recours au Tribunal fédéral, l'autorité administrative avait, a posteriori , violé la loi en attribuant des permis de construire à des tiers, il pourrait encore se prévaloir du fait que l'autorité, durant toute la durée de la procédure de recours au Tribunal fédéral, a persisté dans son attitude visant à délivrer des permis de construire. Il n'est toutefois pas question en l'espèce d'une pratique illégale de l'autorité à l'époque à laquelle elle délivrait des permis de construire fondés sur le nouveau PGA; au contraire, elle y était contrainte par la mise en vigueur du nouveau PGA. Par la suite, dès qu'elle a eu connaissance des arrêts du Tribunal fédéral, l'autorité a cessé de délivrer des permis sur la base de la planification annulée par le Tribunal fédéral, de sorte qu'il ne peut pas être question d'une pratique illégale qui perdure.</w:t>
      </w:r>
    </w:p>
    <w:p>
      <w:r>
        <w:rPr>
          <w:b/>
        </w:rPr>
        <w:t>E. 6</w:t>
      </w:r>
    </w:p>
    <w:p>
      <w:r>
        <w:t>Vu ce qui précède, le recours doit être rejeté dans la mesure où il est recevable et la décision attaquée confirmée. Concernant les frais et dépens, et compte tenu des circonstances particulières, il se justifie de réduire les frais judiciaires à la charge du recourant à 1'000 fr. et de renoncer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