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AC.2020.0115 vom 27. Januar 2021</w:t>
      </w:r>
    </w:p>
    <w:p>
      <w:r>
        <w:t>VD Tribunal cantonal, 2021-01-27, FR</w:t>
      </w:r>
    </w:p>
    <w:p>
      <w:r>
        <w:rPr>
          <w:b/>
        </w:rPr>
        <w:t xml:space="preserve">Quelle: </w:t>
      </w:r>
      <w:r>
        <w:t>https://mcp.opencaselaw.ch/entscheid/vd_omni_AC.2020.0115</w:t>
      </w:r>
    </w:p>
    <w:p>
      <w:r>
        <w:t>FR: VD_OMNI AC.2020.0115 du 27 janvier 2021</w:t>
      </w:r>
    </w:p>
    <w:p>
      <w:r>
        <w:t>IT: VD_OMNI AC.2020.0115 del 27 gennaio 2021</w:t>
      </w:r>
    </w:p>
    <w:p>
      <w:pPr>
        <w:pStyle w:val="Heading2"/>
      </w:pPr>
      <w:r>
        <w:t>Regeste</w:t>
      </w:r>
    </w:p>
    <w:p>
      <w:r>
        <w:t>A.________, B.________, C.________, D.________ et E.________ /Municipalité d'Yverdon-les-Bains | Confirmation du refus d'autoriser la création de nouvelles places de parc et d'un deuxième accès à la route, car, au vu de la configuration des lieux, les conducteurs quittant les places de parc devraient s'engager en marche arrière quasiment à l'aveugle sur la voie publique, ce qui mettrait en péril la sécurité.</w:t>
      </w:r>
    </w:p>
    <w:p>
      <w:pPr>
        <w:pStyle w:val="Heading2"/>
      </w:pPr>
      <w:r>
        <w:t>Erwägungen</w:t>
      </w:r>
    </w:p>
    <w:p>
      <w:r>
        <w:rPr>
          <w:b/>
        </w:rPr>
        <w:t>E. 1</w:t>
      </w:r>
    </w:p>
    <w:p>
      <w:r>
        <w:t>La décision par laquelle une municipalité refuse un permis de construire peut faire l'objet d'un recours de droit administratif au sens des art. 92 ss de la loi du 28 octobre 2008 sur la procédure administrative (LPA-VD; BLV 173.36). Le recours a été déposé en temps utile (cf. art. 95 LPA-VD  et ordonnance du 20 mars 2020 sur la suspension des délais dans les procédures civiles et administratives pour assurer le maintien de la justice en lien avec le coronavirus [COVID-19] ). Il respecte les exigences légales de motivation (art. 79 LPA-VD, par renvoi de l'art. 99 LPA-VD). Les recourants, destinataires de la décision attaquée, ont manifestement qualité pour recourir (art. 75 LPA-VD). Il convient d'entrer en matière sur le fonds.</w:t>
      </w:r>
    </w:p>
    <w:p>
      <w:r>
        <w:rPr>
          <w:b/>
        </w:rPr>
        <w:t>E. 2</w:t>
      </w:r>
    </w:p>
    <w:p>
      <w:r>
        <w:t>, de sorte que le nombre de place de stationnement préconisé par la norme VSS est de quatre (trois pour les habitants et une place visiteur). C'est le nombre retenu par les recourants dans leur projet. Il s'agit toutefois d'une valeur indicative, dont il est possible de s'écarter, lorsque, comme en l'espèce, le bâtiment se situe dans un quartier de la ville qui offre de nombreuses places de parc, pour les visiteurs notamment, que ce soit dans la rue du Chasseron ou dans les rues environnantes. Le nombre de trois places de parc retenu par l'autorité intimée, soit une place par logement, n'est ainsi pas critiquable. La solution proposée par la municipalité, consistant à utiliser l'accès existant pour créer deux places de parc dans l'arrière-cour, pourrait nuire à la qualité des espaces extérieurs, qui font partie intégrante de la structure typologique du quartier. Si l'on considérait que les éléments caractéristiques à conserver sont non seulement le front de rue, mais aussi les espaces et jardins autour des anciennes maisons, la création d'un second accès pourrait contribuer à la réalisation de ce dernier objectif. Cette question n'a toutefois pas à être examinée de façon plus approfondie au vu des considérations suivantes. d) La municipalité devait appliquer une norme du droit cantonal, l'art. 32 al. 2 LRou, qui pose la condition selon laquelle la création d'un accès ne doit pas entraîner d'inconvénient pour la fluidité ou la sécurité du trafic. Au niveau communal, l'art. 111 RPGA dispose également que la municipalité peut interdire la construction de garages ou de places de stationnement dont les accès sur les voies publiques ou privées présentent des inconvénients ou un danger pour la circulation. La question de la sécurité est appréciée selon des critères objectifs, fixés en particulier dans des normes suisses. aa) La norme VSS 40 050, intitulée " Accès riverains ", retient qu'un accès riverain est assimilé à un carrefour quant aux exigences de la sécurité routière, particulièrement en ce qui concerne les distances de visibilité (chiffre 5). Elle précise à son chiffre 6 que les accès riverains seront aménagés de façon que les véhicules qui les empruntent dans les deux sens ne compromettent la sécurité et n'entravent la circulation ni sur les routes publiques, ni sur les trottoirs. La géométrie des accès riverains n'est en principe basée que sur la viabilité (VSS 40 271). Pour des raisons de sécurité, la disposition et l'aménagement des accès riverains seront tels que l'entrée et la sortie des véhicules se fassent toujours en marche avant. Si exceptionnellement cela n'est pas possible pour le type A, il conviendra d'augmenter en conséquence la distance d'observation de type B selon la VSS 40 273 pour tenir compte des conditions de visibilité. La norme VSS SN 40 273a, qui a remplacé la norme VSS 40 273, intitulée " Carrefours, conditions de visibilité ", dispose que la distance de visibilité d'un véhicule sortant sur les véhicules circulant sur la route prioritaire à la vitesse maximale autorisée devrait être de 50 m au moins lorsque cette vitesse est de 50 km/h, comme en l'espèce (cf. tab. 1 p. 8 de la norme). bb) L'autorité intimée a produit une étude réalisée par un bureau d'ingénieurs qui montre que les usagers des places de parc projetées ne pourraient pas manœuvrer pour s'engager sur la chaussée en avant, mais devraient s'y engager en marche arrière. Les recourants ne contestent pas le résultat de cette étude. En ville, il est certes courant – et c'était sans doute déjà le cas dans les années 40 ou 50, lorsque les premiers garages ont été installés dans ce quartier – que l'automobiliste quitte son garage ou son allée en marche arrière. Au vu de l'augmentation de la circulation et aussi de la sensibilité accrue aux exigences de sécurité, on comprend toutefois qu'il convient aujourd'hui d'éviter d'aménager des nouvelles sorties de garage ou d'allées en marche arrière. Lors de l'inspection locale, il a été constaté qu'il y a peu de trafic à la rue du Chasseron. Il n'y a notamment pas de trafic de transit dans cette rue en provenance de la rue de Mauborget (située au nord-ouest). Cependant, en raison des places de stationnement le long de la chaussée sur le côté nord au niveau de la parcelle des recourants, les voitures se dirigeant vers le nord-ouest circulent plutôt au milieu de la chaussée qu'à droite. Par ailleurs, la route est bordée par un trottoir d'1 m 50 environ. A l'endroit prévu pour le débouché du nouvel accès sur la rue de Chasseron, la haie sur la parcelle des recourants cache la visibilité sur le côté sud-est de la rue. Il en découle que les véhicules sortant en marche arrière des places de parc devront s'engager quasiment "à l'aveugle" sur la voie publique, ce qui mettrait ainsi en péril la sécurité des autres usagers de la chaussée même si ces derniers roulent à une vitesse inférieure à 50 km/h et celle des personnes cheminant sur le trottoir, en particulier celle des enfants. L'intérêt public prépondérant qui consiste à garantir la sécurité du trafic – critère exprimé dans la loi cantonale et repris dans le règlement communal – l'emporte ainsi sur l'intérêt privé des recourants à pouvoir aménager l'accès litigieux dans sa configuration actuelle, de sorte que le refus de l'autorité intimée doit être confirmé.</w:t>
      </w:r>
    </w:p>
    <w:p>
      <w:r>
        <w:rPr>
          <w:b/>
        </w:rPr>
        <w:t>E. 3</w:t>
      </w:r>
    </w:p>
    <w:p>
      <w:r>
        <w:t>L e recours doit ainsi être rejeté et la décision attaquée confirmée. Les recourants, qui succombent, doivent supporter les frais de justice (art. 49 al. 1 LPA-VD). Ils auront en outre à verser des dépens à la Municipalité d'Yverdon-les-Bains, représentée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