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AC.2020.0093 vom 3. September 2020</w:t>
      </w:r>
    </w:p>
    <w:p>
      <w:r>
        <w:t>VD Tribunal cantonal, 2020-09-03, FR</w:t>
      </w:r>
    </w:p>
    <w:p>
      <w:r>
        <w:rPr>
          <w:b/>
        </w:rPr>
        <w:t xml:space="preserve">Quelle: </w:t>
      </w:r>
      <w:r>
        <w:t>https://mcp.opencaselaw.ch/entscheid/vd_omni_AC.2020.0093</w:t>
      </w:r>
    </w:p>
    <w:p>
      <w:r>
        <w:t>FR: VD_OMNI AC.2020.0093 du 3 septembre 2020</w:t>
      </w:r>
    </w:p>
    <w:p>
      <w:r>
        <w:t>IT: VD_OMNI AC.2020.0093 del 3 settembre 2020</w:t>
      </w:r>
    </w:p>
    <w:p>
      <w:pPr>
        <w:pStyle w:val="Heading2"/>
      </w:pPr>
      <w:r>
        <w:t>Regeste</w:t>
      </w:r>
    </w:p>
    <w:p>
      <w:r>
        <w:t>Département des institutions et du territoire/Municipalité d'Assens, A.________, Direction générale de la mobilité et des routes DGMR, B.________ | Décision municipale autorisant, dans une zone artisanale située hors de localité et en bordure d'une route cantonale, le changement d'affectation de locaux en un magasin d'alimentation. Recours du Département des institutions et du territoire rejeté: -il convient d'admettre que, sur la base d'une pratique communale constante, les activités commerciales sont autorisées dans le périmètre (consid. 3); -le nombre de places de parc prévu est suffisant (consid. 4).</w:t>
      </w:r>
    </w:p>
    <w:p>
      <w:pPr>
        <w:pStyle w:val="Heading2"/>
      </w:pPr>
      <w:r>
        <w:t>Erwägungen</w:t>
      </w:r>
    </w:p>
    <w:p>
      <w:r>
        <w:rPr>
          <w:b/>
        </w:rPr>
        <w:t>E. 1</w:t>
      </w:r>
    </w:p>
    <w:p>
      <w:r>
        <w:t>Aux termes de l'art. 95 de la loi vaudoise du 28 octobre 2008 sur la procédure administrative (LPA-VD; BLV 173.36), le recours au Tribunal cantonal s'exerce dans les 30 jours dès la notification de la décision ou du jugement attaqués. L'art. 96 al. 1 let. a LPA-VD dispose que sauf dispositions légales contraires, les délais fixés en jour par la loi ou par l'autorité ne courent pas du septième jour avant Pâques au septième jour après Pâques inclusivement. En raison de la pandémie de coronavirus, le Conseil fédéral a rendu une Ordonnance sur la suspension des délais dans les procédures civiles et administratives pour assurer le maintien de la justice en lien avec le coronavirus (COVID-19) du 20 mars 2020 (RS 173.110.4), entrée en vigueur le 21 mars 2020 à minuit (art. 2). L'art. 1 al. 1 de l'ordonnance prescrit que,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Le permis de construire querellé a été adressé le 5 mars 2020 au recourant et reçu le lendemain 6 mars 2020. Déposé le 16 avril 2020, le recours l'a été en temps utile, au vu des féries pascales. Il respecte au surplus les conditions formelles énoncées à l'art. 79 LPA-VD, applicable par renvoi de l'art. 99 LPA-VD, de sorte qu'il y a lieu d'entrer en matière sur le fond.</w:t>
      </w:r>
    </w:p>
    <w:p>
      <w:r>
        <w:rPr>
          <w:b/>
        </w:rPr>
        <w:t>E. 2</w:t>
      </w:r>
    </w:p>
    <w:p>
      <w:r>
        <w:t>A titre de mesure d'instruction, la constructrice et le tiers intéressé ont requis une inspection locale. a) La garantie constitutionnelle du droit d'être entendu (art. 29 al. 2 de la Constitution fédérale de la Confédération suisse du 18 avril 1999: Cst.; RS 101) comprend le droit de fournir des preuves pertinentes, celui d'avoir accès au dossier et celui de participer à l'administration des preuves essentielles ou à tout le moins d'en prendre connaissance et de se déterminer à leur propos, lorsque cela est de nature à influer sur la décision à rendre ( ATF 135 I 279 consid. 2.3, 129 II 497 consid. 2.2, 124 II 132 consid. 2b). En particulier, le droit de faire administrer des preuves suppose que le fait à prouver soit pertinent et que le moyen de preuve proposé soit apte et nécessaire à prouver ce fait (ATF 130 II 425 consid. 2.1). Ce droit n'empêche par ailleurs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pas l'amener à modifier son opinion (ATF 138 III 374 consid. 4.3.2; 137 III 208 consid. 22; 136 I 229 consid. 5.3; 130 II 425 consid. 2.1). b) Les pièces fournies par les parties sont en l'espèce suffisantes pour apprécier la situation et la Cour s'estime suffisamment renseignée. Il n'y a dès lors pas lieu de procéder à une inspection locale et il ne sera pas donné suite à la réquisition formée en ce sens.</w:t>
      </w:r>
    </w:p>
    <w:p>
      <w:r>
        <w:rPr>
          <w:b/>
        </w:rPr>
        <w:t>E. 3</w:t>
      </w:r>
    </w:p>
    <w:p>
      <w:r>
        <w:t>Le recourant invoque tout d'abord une violation de l'art. 2 RPPA, et par extension du Plan directeur cantonal et du Plan directeur du Gros-de-Vaud. En particulier, à son sens, la présence d'un commerce alimentaire à l'endroit prévu ne serait ni conforme à la zone ni aux principes d'aménagements qui sont évoqués dans les plans directeurs. a) Aux termes de l’art. 22 de la loi fédérale du 22 juin 1979 sur l’aménagement du territoire (LAT; RS 700), aucune construction ou installation ne peut être créée ou transformée sans autorisation de l'autorité compétente (al. 1). L'autorisation est délivrée si (al. 2): la construction ou l'installation est conforme à l'affectation de la zone (let. a); le terrain est équipé (let. b). L'art. 48 al. 1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A teneur de l’art. 103 al. 1 1 ère phr. LATC, aucun travail de construction ou de démolition, en surface ou en sous-sol, modifiant de façon sensible la configuration, l'apparence ou l'affectation d'un terrain ou d'un bâtiment, ne peut être exécuté avant d'avoir été autorisé. A la rigueur de son texte, cette disposition n'exige la délivrance d'un permis de construire que lorsque des travaux sont effectués sur un bâtiment ou un terrain. Il n'est cependant pas contesté qu'une autorisation soit également nécessaire en présence d'un simple changement d'affectation. Il faut cependant veiller, eu égard à la garantie constitutionnelle de la liberté individuelle, à ne pas étendre le champ d'application d'une telle autorisation au point d'en faire l'instrument d'un contrôle systématique de l'autorité sur la présence et l'activité des personnes ou sur l'utilisation de biens dans les constructions existantes: le permis de "construire" ne doit pas devenir une autorisation générique à laquelle l'autorité pourrait sans autre subordonner tous les faits de la vie qu'il pourrait lui paraître souhaitable de soumettre à son contrôle (cf. arrêts AC.2014.0108 du 21 octobre 2014 consid. 4a; AC.2012.0369 du 11 décembre 2013 consid. 3a/cc; AC.2003.0178 du 27 avril 2004). b) En règle générale, la notion d'artisanat n'est pas définie dans la réglementation concernant la zone. Ordinairement, la pratique considère comme entreprise artisanale la réunion, dans un but économique, de moyens personnels et matériels (ATF 101 Ia 205 consid. 3b, JdT 1977 I 83; Ruch in Commentaire de la loi fédérale sur l’aménagement du territoire, 2009, n. 76 ad art. 22 LAT). Selon la jurisprudence, les activités sans rapport avec la production, la fabrication ou la transformation de biens matériels ne sont en principe pas compatibles avec une zone industrielle et artisanale. Des dépôts non liés à une activité ne sont dès lors a priori pas conformes à une zone industrielle ou artisanale (cf. AC.2012.0315 du 31 mai 2013 consid. 1a/bb; AC.2008.0019 du 27 octobre 2008 consid. 4). Il est néanmoins possible d'admettre dans une zone artisanale des activités qui ne sont pas strictement artisanales, notamment des dépôts, lorsqu'on est en présence d'une telle pratique de l'autorité municipale, et ce en application du principe de l'égalité de traitement (cf. AC.2012.0315 du 31 mai 2013 consid. 1b). Des activités commerciales peuvent, selon la jurisprudence, également être admises dans la zone industrielle ou artisanale lorsque l'autorité a développé une pratique constante, admettant dans ce type de zone des activités commerciales non industrielles, telles que la vente, les activités de services, de détente ou de loisir (cf. AC.2014.0108 du 21 octobre 2014 consid. 4b; AC.2012.0315 précité consid. 1a/bb, et les références citées). Tel a été notamment le cas de kiosques (shops) de stations-service (ATF 1C_122/2010 du 21 juin 2010 et 1C_426/2007 du 8 mai 2008), d'une discothèque, d'une salle de sport, d'un commerce de meubles et d'une droguerie (ATF 1C_326/2012 du 17 avril 2013 consid. 3.2), ou encore d'un commerce de meuble (AC.2015.0200 du 9 janvier 2017 consid. 1). Le Tribunal fédéral a toutefois jugé que les communes devaient veiller à ce qu'il reste suffisamment de terrains disponibles dans les zones artisanales pour des activités de ce genre et ne pas y tolérer l'habitation de façon inconsidérée (ATF 1C_138/2010 du 26 août 2010 consid. 2.5, et les références citées). Cette dernière jurisprudence a trait à des zones exclusivement artisanales, dans lesquelles l’habitation n’est admise que de façon limitée et toujours en rapport avec la destination principale (cf. AC.2014.0108 du 21 octobre 2014 consid. 4b; AC.2012.0315 du 31 mai 2013 consid. 1a/bb). On ne doit enfin pas autoriser une implantation dont on ne peut pas prévoir, d'après les plans, qu'elle sera conforme à la zone (cf. AC.2010.0236 du 25 mai 2011 consid. 5). c) Le Plan directeur cantonal, en vigueur depuis le 1 er janvier 2008, dans son adaptation 4bis du 20 décembre 2019 (ci-après PDCn), définit notamment une ligne d'action B1, soit que le Canton définit les agglomérations ainsi que les centres cantonaux et régionaux. Les centres locaux sont identifiés par les projets de territoire régionaux. La définition tient compte du rôle particulier pour leur région des centres éloignés des agglomérations et à faible vitalité démographique. La mesure A23, intitulée "Mobilité douce", indique que le Canton encourage les déplacements à pied et en deux roues non motorisés, surtout à l’intérieur des agglomérations, à proximité des centres, ainsi que dans le cadre des déplacements scolaires, touristiques et de loisirs, avec pour objectif d’optimiser les chaînes de mobilité. Il s'agit d'offrir la possibilité d'utiliser les moyens de déplacement doux en toute sécurité et par des cheminements conviviaux. Le Canton prend les mesures suivantes: – traiter systématiquement, avec une importance comparable à celle donnée aux autres moyens de transports, la mobilité douce lors d'interventions sur le territoire (plans directeurs, plans d’affectation, permis de construire); – sensibiliser la population et l'ensemble des acteurs économiques et politiques; – développer une urbanisation de proximité favorisant les déplacements doux; – améliorer la qualité des interfaces et développer la complémentarité entre transports publics et déplacements doux; – mettre en valeur et assurer la continuité des itinéraires pédestres et cyclistes dédiés à la mobilité douce de loisirs et de tourisme (inventaire cantonal des chemins de randonnée pédestre; itinéraires SuisseMobile). La mesure D13, intitulée "Installations à forte fréquentation", prescrit que le Canton, les communes et, le cas  échéant, les  régions veillent à une implantation judicieuse des IFF (installations à forte fréquentation) afin de maintenir la vitalité des centres, d’éviter un mitage du territoire, de garantir leur accessibilité multimodale à l’ensemble de la population et de limiter le trafic individuel motorisé lié à ces  implantations. Il est tenu compte également des besoins en approvisionnement de la population ainsi que des nécessités logistiques de l’entreprise. Les IFF sont implantées en principe dans les centres cantonaux, régionaux et locaux, dans un site adapté à leurs caractéristiques selon le principe de la bonne activité au bon endroit. La conformité des projets de planification et de construction d’ICFF (installations commerciales à forte fréquentation) à partir de 2'500m2 de surface de vente est examinée sur la base des critères cantonaux d'exclusion et de préférence définis notamment dans les domaines de l'urbanisation, des transports, de l'environnement, de l'économie et des besoins régionaux. Ces critères permettent: - d'orienter des localisations nouvelles dans un travail de planification ; - d'accompagner les porteurs de projet pour une recherche de localisation optimale; - de formuler des recommandations en vue d'une prise de position des autorités compétentes chargées d'apprécier une demande d’implantation. Les communes et, le cas échéant, les régions intègrent la thématique des ICFF dans leur planification directrice en application des critères cantonaux Le PDCn définit la notion d'IFF comme regroupant un ensemble d'installations qui attirent du public de manière plus ou moins intense, sans définition précise de l'intensité. Ce sont par exemple les commerces de détail d'une certaine taille, les grands magasins ou les marchés spécialisés, les regroupements de commerces en centres commerciaux, les équipements de sport et de loisirs tels que cinémas multiplexes ou les centres de fitness, certains parcs technologiques, les établissements de santé, de formation et culturels, etc. d) Le Plan directeur régional du Gros-de-Vaud, dans sa version au 3 décembre 2015, validé par le Conseil d'Etat en avril 2017 (PDR), comporte une ligne d'action A.a intitulée "densifier le tissu bâti à l'intérieur des périmètres des centres en respectant les qualités du tissu urbain existant et du patrimoine culturel. Cette ligne d'action se traduit notamment par une mesure A.a3 dont la teneur est "mener les démarches nécessaires (PPA, PQ, opérations  foncières, etc.) permettant de densifier les secteurs bien desservis par les TP (500 mètres autour des gares et haltes ferroviaires et 300 mètres autour des arrêts de bus). Y localiser de manière préférentielle les grands générateurs de trafic et les sites d’activités denses." Selon le PDR, d'une part les secteurs bien desservis par les transports publics permettent une meilleure gestion des besoins en mobilité des individus (habitants, visiteurs, employés…), sans stimuler la croissance de la mobilité individuelle motorisée; d'autre part, la densification de ces secteurs permet d'assurer une fréquentation des lignes à même d'assurer leur viabilité économique et de justifier leur renforcement et donc leur attractivité pour les usagers. Cette réflexion doit toujours guider les choix des planificateurs dans leurs démarches d'urbanisation, autant dans le domaine de l'habitat que dans celui des activités et des équipements. La ligne d'action A.b, intitulée "localiser et maintenir les services et équipements publics à vocation régionale dans les centres régionaux et locaux", se traduit quant à elle par une mesure A.b1 qui tend à maintenir et, au besoin, augmenter l'offre en services de proximité (tels que les cafés, commerces de détail, etc.) lieux générateurs de vie sociale dans les périmètres de centre. La présence d'équipements et de services de proximité est une condition essentielle à la vitalité des localités. Elle permet de réduire la dépendance vis-à-vis de l'extérieur et prévient par ailleurs un accroissement non désiré de la mobilité individuelle. Elle réduit, en outre, les distances des déplacements individuels motorisés pour la satisfaction des besoins en services quotidiens. e) Le principe de la légalité de l'activité administrative prévaut en principe sur celui de l'égalité de traitement (ATF 126 V 390 consid. 6a).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125 II 152 consid. 5; 122 II 446 consid. 4a). Il faut encore que l'autorité n'ait pas respecté la loi selon une pratique constante, et non pas dans un ou quelques cas isolés (ATF 132 II 485 consid. 8.6; 127 I 1 consid. 3a; 126 V 390 consid. 6a), et qu'aucun intérêt public ou privé prépondérant n'impose de donner la préférence au respect de la légalité (ATF 139 II 49 consid. 7.1; 136 I 65 consid. 5.6; 123 II 248 consid. 3c). C'est seulement lorsque toutes ces conditions sont remplies que le citoyen est en droit de prétendre, à titre exceptionnel, au bénéfice de l'égalité dans l'illégalité (8C_418/2013 du 15 octobre 2014 consid. 4.6.1; 1C_426/2011 du 18 juin 2011 consid. 7.1; 1C_419/2011 du 18 juin 2011 consid. 6.1). f) La municipalité jouit d’un certain pouvoir d’appréciation dans l’interprétation qu’elle fait des règlements communaux (cf. par exemple AC.2017.0045 du 6 avril 2018 consid. 1a; AC.2015.0102 du 19 novembre 2015 consid. 3; AC.2014.0417 du 3 novembre 2015 consid. 3a/aa; AC.2014.337 du 3 mars 2015 consid. 4b; AC.2013.0230 du 4 février 2014 consid. 9c). Elle dispose notamment d’une latitude de jugement pour interpréter des concepts juridiques indéterminés dont la portée n'est pas imposée par le droit cantonal (cf. notamment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arrêts cités). g) L'art. 2 RPPA a la teneur suivante : " Art. 2      Le périmètre est réservé aux entreprises artisanales, à la petite industrie et à leurs dépôts. Des logements, un par bâtiment, sont admis pour le gardiennage. Ils devront être intégrés dans les bâtiments d'exploitation." h) La constructrice et le tiers intéressé paraissent soutenir dans leur réponse au recours que le recourant ne pourrait contester l'installation d'un commerce alimentaire sur la parcelle no 1227 dans la mesure où le permis de construire CAMAC 180839 serait en force. Or, ce document inclurait déjà l'affectation du rez-de-chaussée à un tel commerce. On ne saurait les suivre. En effet, la première demande de permis portait sur la transformation des locaux et non sur l'affectation spécifique en magasin alimentaire. Or, l'affectation doit faire, comme la jurisprudence citée plus haut le rappelle, également l'objet d'une autorisation spécifique de l'autorité communale. D'ailleurs, les tractations qui ont eu lieu s'agissant de l'installation d'un restaurant Mc Donald's au même endroit montrent bien que l'affectation finale n'était pas encore définie au moment des travaux de transformation. Il n'y a donc pas une force de chose décidée qui s'opposerait à l'examen de la conformité d'un magasin alimentaire à l'affectation de la zone. i) En l'espèce, il convient tout d'abord de relever que le PPA "Les Berchères" a été adopté en 1997 et mis à jour en 1999. Il est ainsi antérieur à l'entrée en vigueur tant du PDCn que du PDR et ne tient donc pas compte des principes développés dans ces plans. Les deux outils précités ayant une portée dans le cadre de la planification, ils ne sauraient remettre en cause – en l'état – la planification existante au niveau communal. j) L'art. 2 RPPA réserve l'usage de la zone à l'artisanat, la petite industrie et à leurs dépôts. Au regard de la jurisprudence citée plus haut, cette formulation paraît exclure la présence d'activités commerciales sur le périmètre du PPA. Il ressort toutefois des réponses au recours que tant l'autorité intimée que la constructrice et le tiers intéressé se fondent sur la présence antérieure, dans les mêmes locaux, du magasin de meuble "L.________" pour admettre que la présence d'un commerce alimentaire serait conforme à la zone. Au sens de l'autorité intimée, cela ferait une vingtaine d'années – soit depuis l'entrée en force du plan – que la pratique autoriserait une telle affectation. En d'autres termes, les parties précitées se prévalent d'une interprétation constante du RPPA par les autorités dans le sens où une activité purement commerciale serait également autorisée. Un examen, par le biais d'un annuaire internet et de photographies aériennes, des activités développées aujourd'hui dans le périmètre du PPA "Les Berchères" montre que des activités de toutes sortes y sont développées. En effet, sur la parcelle avoisinante 1226 se trouve le dépôt d'une entreprise de construction. Dans le bâtiment sis sur la parcelle 1262 sont présents notamment un caviste, une institution financière et un magasin de meubles et décoration. On ne sait cependant pas depuis combien de temps ces entreprises sont installées ici. Toutefois, les dernières activités ne ressortent manifestement pas de l'artisanat au sens de la jurisprudence, mais bien d'une activité commerciale. Il ressort en outre du dossier que depuis 2008, les locaux litigieux ont été occupés par un magasin de meubles, ce qui n'est d'ailleurs pas contesté par le recourant. Il est ainsi établi qu'à tous le moins depuis 2008 et l'installation de "L.________", la municipalité admet dans la zone des activités de nature commerciale. Le fait que cette pratique remonte à une douzaine d'années au moins l'établit comme étant constante. Cela étant, il convient en outre, pour que la constructrice puisse se prévaloir de cette pratique, que l'autorité entende la maintenir. Or, il ressort des écritures de cette dernière qu'elle considère sa pratique conforme à l'affectation de la zone. On ne saurait dès lors considérer que cette autorité a la volonté de modifier sa pratique future, ce qui réalise les critères fixés par la jurisprudence. Le recourant paraît considérer, par sa référence aux principes fixés dans le PDCn et le PDR, qu'une telle pratique serait contraire à des intérêts publics supérieurs prépondérants qui imposeraient d'appliquer le principe de légalité. Toutefois, comme déjà exposé plus haut sous lettre i), les principes évoqués sont postérieurs à l'adoption du plan et même à la mise en place de la pratique communale, qui est vraisemblablement antérieure à 2008. Ainsi, on ne perçoit pas que les principes développés dans les plans directeurs susmentionnés doivent faire obstacle à une interprétation réglementaire bien ancrée et dépendant de l'autonomie communale. Si le recourant entendait empêcher l'installation d'un magasin alimentaire ou de commerces dans le périmètre du PPA, sur la base des principes d'aménagements susmentionnés, il devait agir par des outils d'aménagement du territoire, et en sollicitant des mesures provisoires ou en instaurant une zone réservée cantonale, ce qu'il n'a pas fait. En définitive, il convient d'admettre que, sur la base d'une pratique communale constante, les activités commerciales sont autorisées dans le périmètre du PPA "Les Berchères". k) Le recourant soutient encore que, même si l'activité commerciale était tolérée, celle liée à un magasin alimentaire serait de nature différente, en raison du volume de trafic qu'elle génère. La possibilité que le volume de trafic puisse augmenter n'est toutefois pas de nature à limiter l'interprétation que l'autorité intimée peut faire de sa propre norme. En effet, l'admission des activités commerciales est générale et n'a pas à être différenciée en fonction du volume de clients et des mouvements de véhicules induits par une activité spécifique. A défaut, cela entraînerait une incertitude juridique notable, l'admission de telle ou telle activité étant fondée uniquement sur une appréciation subjective de l'autorité. L'argument doit donc être écarté. l) Au vu des éléments qui précèdent, le grief doit donc être rejeté.</w:t>
      </w:r>
    </w:p>
    <w:p>
      <w:r>
        <w:rPr>
          <w:b/>
        </w:rPr>
        <w:t>E. 4</w:t>
      </w:r>
    </w:p>
    <w:p>
      <w:r>
        <w:t>Le recourant invoque également une violation de l'art. 24 al. 3 LATC en ce sens que le nombre de places de parc prévues serait insuffisant. Il invoque l'application de la norme VSS SN 640 281 dont l'utilisation aboutit à la nécessité d'une offre entre 41 et 46 places de parc au total. Les quatorze places de parc, dont deux pour handicapés, prévues par le projet seraient donc manifestement insuffisantes. La constructrice et le tiers intéressé, qui produisent une évaluation des besoins effectuée par ce dernier, ainsi que la municipalité considèrent que le nombre prévu par le projet est adéquat, le personnel de l'enseigne étant limité à deux ou trois employés, dont le gérant. En outre, la typologie de clientèle serait particulière dans la mesure où celle-ci ne resterait sur place que très peu de temps afin de faire ses courses. Enfin, le nombre de places disponibles pourrait être augmenté, de l'espace étant encore disponible sur la parcelle no 1227 et un accord ayant été passé avec le propriétaire de la parcelle voisine no 1262 pour la mise à disposition de 15 places supplémentaires. a) L'art. 24 al. 3 LATC a, depuis le 1 er septembre 2018, la teneur suivante : "Ils [les plans d'affectation] peuvent également contenir d'autres dispositions en matière d'aménagement du territoire et de restriction du droit à la propriété, pour autant qu'elles ne soient pas contraires à la loi et au plan directeur cantonal. Ils prévoient en particulier des références aux normes professionnelles en matière de stationnement. Ils prévoient, notamment, des places de sport, de jeu ou de loisirs suffisantes, en particulier pour les enfants." L'art. 40a RLATC prescrit quant à lui : " 1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2 A défaut de réglementation communale conforme aux normes en vigueur, celles-ci sont applicables aux véhicules motorisés et aux deux-roues légers non motorisés. 3 Si les conditions locales le permettent, les places de stationnement sont perméables." L'art. 11 RPPA prévoit : "Des places de stationnement pour voitures, camions, etc., doivent être prévues en nombre suffisant pour les besoins des entreprises." b) Le Tribunal cantonal a jugé jusqu'ici que l'art. 40a RLATC ne disposait pas d'une base légale suffisante dans la loi sur l'aménagement du territoire et les constructions et que les normes VSS ne pouvaient être appliquées que si le règlement communal y renvoyait directement (AC.2016.0402 du 11 octobre 2017 consid. 8a; AC.2014.0157 du 16 avril 2015 consid. 3c; AC.2009.0064 du 4 novembre 2010 consid. 4). Récemment, la Cour a considéré que la situation pourrait avoir changé et que l'art. 24 al. 3 LATC pourrait constituer une base légale suffisante justifiant l'application de l'art. 40a RLATC, de sorte qu'une commune serait désormais fondée à se prévaloir des normes VSS nonobstant une réglementation communale contraire (AC.2019.0184 du 8 janvier 2020 consid. 4, dans un sens contraire AC.2017.0349 du 29 novembre 2018 consid. 10b; RDAF 2019 I p. 242). Pour les raisons qui seront développées plus loin, la question peut rester en l'état ouverte. c) En l'espèce, il convient tout d'abord de déterminer si les normes VSS sont applicables. Le recourant s'y réfère en mentionnant que le RPPA ne prévoit aucune norme spécifique au stationnement. Les autres parties paraissent également s'y référer, même si l'autorité intimée conteste leur applicabilité directe. L'art. 11 RPPA mentionné ci-dessus traite de la problématique du stationnement en évoquant que le nombre de places doit correspondre aux besoins des entreprises. Un critère est donc fixé – le besoin –, même si celui-ci n'est pas explicité. L'autorité intimée n'a sur ce point pas fait état de sa pratique, se contentant d'indiquer ne pas avoir de raison objective de remettre en doute les affirmations du propriétaire et du tiers intéressé. Cette appréciation ne peut constituer ni une interprétation ni une pratique à laquelle on pourrait se référer. On peut donc s'interroger sur l'applicabilité de la norme VSS en l'espèce, notamment au regard des jurisprudences rendues en lien avec l'art. 40a RLATC. Cette question peut, comme indiqué plus haut, rester ouverte, dans la mesure où quelle que soit la méthode utilisée, le nombre de places disponibles est conforme. d) L'évaluation des besoins effectuée par le tiers intéressé (l'exploitant), soit douze places de parc pour la clientèle et deux pour les employés, se réfère à l'expérience acquise par celui-ci dans le cadre de l'installation de ses points de vente. C.________ expose offrir la possibilité à sa clientèle d'effectuer ses achats rapidement, ce qui implique que celle-ci ne passe qu'un laps de temps très court dans les locaux et que les places de parc se libèrent rapidement. Il ressort en outre du dossier qu'elle entend profiter du trafic de transit entre Assens et Echallens pour attirer des clients. Il convient néanmoins d'ajouter aux places définies par l'exploitant celles réservées sur la parcelle no 1262, soit quinze, qui complètent le cas échéant la disponibilité en stationnement. Il n'y a en effet pas à douter que ces places seront réquisitionnées pour le commerce en cause, comme le montre le courrier produit. C'est donc au total 29 places qui doivent être prises en compte. La disposition des lieux, soit un magasin situé sur une parcelle hors de localité et au bord d'une route cantonale, tend à confirmer que la clientèle du magasin litigieux ne sera qu'une clientèle de passage, destinée à ne faire que quelques achats. Il est au demeurant constant que le site n'est pas desservi par les transports publics et que seul un accès automobile est envisageable, ce qui doit amener à considérer de manière plus large le nombre de places de stationnement nécessaire. Cela étant, il est notoire que les magasins de l'enseigne C.________ proposent un assortiment limité destiné en majorité à compléter d'autres achats. On relèvera que ces enseignes sont généralement à proximité d'un autre magasin du groupe, plus grand. Il ressort de ces éléments que la clientèle qui fréquentera le magasin litigieux sera irrégulière et ne devrait pas rester longuement présente sur le site. Cela tend donc à conforter l'estimation des besoins effectuée par l'exploitant. Au demeurant, il ne serait pas au bénéfice de celui-ci de sous-évaluer son besoin en stationnement, au risque de provoquer une perte d'attractivité de l'emplacement de vente. Au surplus, on peut suivre l'argumentation de la constructrice et du tiers intéressé quant au fait qu'il s'agit d'une surface commerciale de taille modeste. En effet, la surface moyenne des supermarchés de l'enseigne Coop est en moyenne de 810,89 m2 (2333 points de vente pour 1'891'825 m2 de surface totale; source rapport de gestion 2019 sur https://report.coop.ch/fr/secteurs-dactivite/detailhandel-french/ ). Pour l'enseigne Migros, en 2019, la surface moyenne était de 1'526,94 m2 (627 magasins pour 957'394 m2 de surface de vente). Pour C.________, toujours en 2019, la surface moyenne représentait 266,71 m2 (soit 822 points de vente pour 219'236 m2; source pour ces deux dernières enseignes, rapport d'activité 2019 du groupe Migros, disponible sous www.migros.ch/fr/entreprise/medias/conference-des-medias-2020.html). Même si ces chiffres ne représentent pas la diversité des magasins existants, ils montrent malgré tout que la surface en cause (soit 360 m2 ou 457 m2 selon les parties, cf. consid. 4e ci-dessous) situe le commerce litigieux dans la catégorie des magasins de petite taille, ce qui est d'ailleurs l'une des caractéristiques des magasins C.________. Ainsi, les besoins en stationnement évalués par l'exploitant correspondent à la taille de l'enseigne, de taille modeste. A titre d'exemple, on peut se référer également à la présence d'un magasin C.________ accompagné d'un outlet Migros à Romanel-sur-Lausanne, le long de la route cantonale, qui dispose de 30 places de parc, dont deux pour handicapés, destinées à la clientèle et de 7 places pour le personnel. En définitive, le nombre de place est suffisant, même si l'on considère uniquement les 14 places évoquées par l'exploitant. e) Le résultat ne serait pas différent si l'on se fondait sur la norme VSS SN 640 281, en considérant que l'art. 11 RPPA correspondrait en fait à l'absence d'une disposition spécifique dans le règlement communal dans la mesure où il est peu précis. En effet, dans un tel cas, on peut s'inspirer de la méthode de calcul de l'offre en cases de stationnement pour les voitures de tourisme de la norme VSS SN 640 281, en rappelant  que les normes VSS ne sont pas des règles de droit et ne lient pas le tribunal, mais sont l’expression de la science et de l’expérience de professionnels éprouvés; elles peuvent donc être prises en considération comme un avis d’expert (AC.2016.0415 du 29 septembre 2017 consid. 4a/aa; AC.2016.0023 du 21 mars 2017 consid. 4a). Ces normes doivent être appliquées en fonction des circonstances concrètes et en accord avec les principes généraux du droit, dont celui de la proportionnalité (TF 1C_157/2008 du 10 juillet 2008 consid. 2.1; 1P.124/1977 du 15 novembre 1978 consid. 3b, in ZBl 1979 p. 223). Il est constant qu'en l'espèce, le calcul peut se fonder sur la démarche simplifiée proposée par la norme VSS SN 640 281, le nombre de places étant inférieur à 300. Les parties s'opposent sur la manière de qualifier l'espace de vente litigieux. Pour le recourant, il s'agit d'un "magasin à nombreuse clientèle" alors que la constructrice et le tiers intéressé considèrent qu'il s'agit d'un "autre magasin" au vu de la surface de vente, limitée selon eux à 360 m2. Ce dernier critère ne paraît toutefois pas adéquat pour déterminer la nature de l'affectation au sens de la norme VSS SN 640 281. En effet, il est tout-à-fait imaginable de trouver un petit magasin avec une clientèle nombreuse et régulière. La norme exemplifie d'ailleurs la typologie de commerces qui se retrouve dans chacune des catégories, les magasins d'alimentation étant – a priori – intégrés aux magasins à nombreuse clientèle. Comme évoqué plus haut, la clientèle de l'enseigne C.________ consiste en une clientèle de passage qui ne reste sur place qu'un temps limité. Ainsi, même si l'on peut admettre une fréquentation régulière sur la journée, le besoin en stationnement doit être évalué sur la base de cette particularité. On ne peut donc assimiler un tel magasin à un grand centre commercial ou même à un magasin alimentaire à très haute fréquentation. De ce point de vue, l'enseigne se rapproche des épiceries spécialisées ou de quartier. Or, dans ces cas, on n'envisagerait pas d'utiliser la catégorie des "magasins à nombreuse clientèle" de la norme, mais bien celle des "autres magasins", même s'il s'agit de magasins d'alimentation. C'est donc sur la base de cette seconde catégorie qu'il convient de déterminer le nombre de places de parc nécessaire. Les parties ne s'accordent en outre pas sur la dimension de la surface de vente à prendre en compte. Le recourant se fonde sur une surface de 457 m2 alors que, comme évoqué ci-dessus, la constructrice et le tiers intéressé utilisent pour leur calcul une surface de 360 m2. La constructrice déduit l'espace des caisses, du stockage et des locaux destinés au personnel. Il ressort toutefois des plans fournis que le "local 1", correspondant à la zone d'accueil des clients, hors zone de stockage, bureau et autres locaux destinés au personnel, a une surface de 457 m2. Il n'y a donc pas lieu de retirer ces derniers de la surface. Il reste donc la question de la prise en compte de l'espace destiné aux caisses. Le chiffre 5.6 de la norme VSS SN 640 281 définit la surface de vente comme le total de toutes les surfaces accessibles à la clientèle, y compris celles des étagères, vitrines, etc. mais sans celles pour la desserte, les toilettes, etc. Au regard de cette définition, il est manifeste que la zone dédiée aux caisses doit être intégrée à la surface de vente. D'ailleurs, on ne perçoit pas pourquoi il conviendrait de la déduire alors même que c'est le lieu par lequel transite l'ensemble de la clientèle, pour payer et sortir du magasin. La norme VSS précitée mentionne une offre en stationnement pour les "autres magasins" de 1,5 places pour le personnel et de 3,5 places pour les clients, par 100 m2 de surface de vente. Le calcul de base est donc de (1,5 x 4,57) 6,85 places pour le personnel et de 16 places pour la clientèle. S'agissant de l'éventuelle pondération sur la base des critères de la norme, il est constant que la localisation du magasin litigieux n'est pas desservie par des transports publics et qu'elle n'est pas atteignable par d'autres modes de mobilité douce. Il s'agit donc d'une localisation de type E, qui implique une fourchette comprenant aucune réduction (haut de fourchette) et 10% de réduction (bas de fourchette), soit en l'espèce de 19 à 23 places de stationnement. Pour évaluer le présent projet, il convient toutefois d'intégrer les 15 places disponibles sur la parcelle no 1262 et de les ajouter aux 14 prévues sur la parcelle litigieuse. Ainsi, c'est un total de 29 places, dont deux pour handicapés, qui seront à disposition, ce qui est suffisant. f) Il n'y a donc pas de nécessité de déterminer si 24 places supplémentaires peuvent être réalisées sur la parcelle no 1227, comme le soutiennent la constructrice et le tiers intéressé. g) Au surplus, le risque évoqué par le recourant quant à un sous-dimensionnement de l'espace de parking consiste en un report de la demande sur les parcelles voisines, voire en bordure de route cantonale. D'une part, ce risque a été envisagé par la constructrice et le tiers intéressé dans la mesure où des places supplémentaires, à hauteur de quinze, ont été réservées sur la parcelle no 1262. Or, c'est sur cette parcelle qu'un risque, pour autant qu'il puisse être objectivé, pourrait se réaliser. En effet, les nouvelles places envisagées pour la clientèle du magasin seront accessibles via la parcelle no 1262, et plus précisément par la zone dédiée au parcage sur celle-ci. Ainsi, les places supplémentaires réservées sur ce même parking sont clairement de nature à diminuer, voire supprimer le risque de report. D'autre part, le risque de report sur la route cantonale ne paraît pas suffisamment établi. En effet, la parcelle no 1227 disposera d'un accès par la route des Berchères puis par les parcelles no 1262 ou 1226. Il paraît en conséquence peu probable qu'un client du magasin litigieux décide de stationnement le long d'une des deux routes avant de se déplacer à pied jusqu'à l'enseigne. h) En définitive, le grief doit être rejeté.</w:t>
      </w:r>
    </w:p>
    <w:p>
      <w:r>
        <w:rPr>
          <w:b/>
        </w:rPr>
        <w:t>E. 5</w:t>
      </w:r>
    </w:p>
    <w:p>
      <w:r>
        <w:t>L'autorité intimée, la constructrice et le tiers intéressé paraissent soulever divers griefs à l'encontre du recourant, en particulier une violation du principe de la bonne foi ou encore du principe de chose décidée. Au vu du rejet des griefs soulevés par le recourant, il n'est pas nécessaire d'examiner ces griefs complémentaires.</w:t>
      </w:r>
    </w:p>
    <w:p>
      <w:r>
        <w:rPr>
          <w:b/>
        </w:rPr>
        <w:t>E. 6</w:t>
      </w:r>
    </w:p>
    <w:p>
      <w:r>
        <w:t>En définitive, le recours doit être rejeté. Il n'y a pas lieu de fixer des frais judiciaires (art. 52 al. 1 LPA-VD). La constructrice et le tiers intéressé ayant procédé par l'intermédiaire d'un avocat ont droit à des dépens, qui seront fixés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