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AC.2020.0081 vom 21. Juli 2021</w:t>
      </w:r>
    </w:p>
    <w:p>
      <w:r>
        <w:t>VD Tribunal cantonal, 2021-07-21, FR</w:t>
      </w:r>
    </w:p>
    <w:p>
      <w:r>
        <w:rPr>
          <w:b/>
        </w:rPr>
        <w:t xml:space="preserve">Quelle: </w:t>
      </w:r>
      <w:r>
        <w:t>https://mcp.opencaselaw.ch/entscheid/vd_omni_AC.2020.0081</w:t>
      </w:r>
    </w:p>
    <w:p>
      <w:r>
        <w:t>FR: VD_OMNI AC.2020.0081 du 21 juillet 2021</w:t>
      </w:r>
    </w:p>
    <w:p>
      <w:r>
        <w:t>IT: VD_OMNI AC.2020.0081 del 21 luglio 2021</w:t>
      </w:r>
    </w:p>
    <w:p>
      <w:pPr>
        <w:pStyle w:val="Heading2"/>
      </w:pPr>
      <w:r>
        <w:t>Regeste</w:t>
      </w:r>
    </w:p>
    <w:p>
      <w:r>
        <w:t>A.________, B.________, C.________, D.________, E.________/Municipalité de Château-d'Oex, F._________, G.________ | Recours contre la construction d'un chalet de cinq appartements. Les modifications mises à l'enquête complémentaire ne nécessitaient pas une nouvelle enquête principale (c. 4). Les griefs tranchés par le permis principal, entré en force, sont irrecevables. Il en va ainsi des griefs portant sur le respect de la loi sur les résidences secondaires, la constructibilité de la parcelle et les précautions imposées par le danger de glissement de terrain (c. 5). Le propriétaire du fonds servant, qui aménage la servitude de passage sur son propre fonds, n'a pas à requérir la signature du propriétaire du fonds dominant (c. 7c). Recevabilité du grief portant sur la déclivité de la portion du chemin d'accès destinée exclusivement aux recourants; question restée indécise. Cette portion peut être assimilée à une rampe non couverte; une pente de 15% est ainsi admissible (c. 7d). Les ancrages prévus sous la parcelle voisine sont soumis à permis de construire et nécessitent la signature du propriétaire de celle-ci. Recours partiellement admis et décision attaquée réformée en ce sens que les éventuels ancrages devront être réalisés exclusivement sur la parcelle des constructeurs (c. 8).</w:t>
      </w:r>
    </w:p>
    <w:p>
      <w:pPr>
        <w:pStyle w:val="Heading2"/>
      </w:pPr>
      <w:r>
        <w:t>Erwägungen</w:t>
      </w:r>
    </w:p>
    <w:p>
      <w:r>
        <w:rPr>
          <w:b/>
        </w:rPr>
        <w:t>E. 1</w:t>
      </w:r>
    </w:p>
    <w:p>
      <w:r>
        <w:t>Déposés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Enfin, les recourants disposent de la qualité pour recourir en leur qualité de voisins proches de la parcelle litigieuse. Il y a donc lieu d'entrer en matière.</w:t>
      </w:r>
    </w:p>
    <w:p>
      <w:r>
        <w:rPr>
          <w:b/>
        </w:rPr>
        <w:t>E. 2</w:t>
      </w:r>
    </w:p>
    <w:p>
      <w:r>
        <w:t>de la Constitution fédérale de la Confédération suisse du 18 avril 1999 (Cst.; RS 101) comprend en particulier le droit pour le justiciable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145 I 167 consid. 4.1; TF 2C_91/2020 du 15 juillet 2020 consid. 4.1 et les références citées). b) En l'espèce, le dossier est suffisamment complet pour permettre à la Cour de céans de statuer en toute connaissance de cause. Les éléments requis par les recourants ne permettraient d'ailleurs pas une appréciation juridique différente, pour les motifs exposés ci-après. Il apparaît donc superflu d'ordonner des mesures d'instruction supplémentaires, sans qu'il n'en résulte de violation du droit d'être entendu des susnommés.</w:t>
      </w:r>
    </w:p>
    <w:p>
      <w:r>
        <w:rPr>
          <w:b/>
        </w:rPr>
        <w:t>E. 3</w:t>
      </w:r>
    </w:p>
    <w:p>
      <w:r>
        <w:t>Les parties ayant trouvé en cours de procédure un accord en ce qui concerne le passage des canalisations sur le fonds 4239, le grief relatif à cet équipement est devenu sans objet.</w:t>
      </w:r>
    </w:p>
    <w:p>
      <w:r>
        <w:rPr>
          <w:b/>
        </w:rPr>
        <w:t>E. 4</w:t>
      </w:r>
    </w:p>
    <w:p>
      <w:r>
        <w:t>Les recourants estiment, à lecture des plans soumis à enquête complémentaire, que les modifications en cause revêtiraient une importance telle qu'elles auraient dû faire l'objet d'une enquête principale. a) aa) La procédure de mise à l’enquête publique, prévue à l'art. 109 de la loi du 4 décembre 1985 sur l'aménagement du territoire et les constructions (LATC; BLV 700.11), possède un double but. D'une part, elle est destinée à porter à la connaissance de tous les intéressés, propriétaires voisins, associations à but idéal ou autre, les projets de construction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(AC.2017.0410 du 26 juin 2018 consid. 1b et les références citées). bb)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111 et 117 LATC). Elles sont de minime importance si elles portent sur des points de détail ou secondaires. En particulier lorsqu'elles vont dans le sens des griefs des opposants, de telles modifications ne nécessitent pas une mise à l'enquête complémentaire. Dans un ce cas toutefois, le dossier devrait comprendre un descriptif clair des changements autorisés par le permis de construire (cf. AC.2018.0157 du 21 mars 2019 consid. 3a; AC.2017.0044 du 13 septembre 2018 consid. 3 et les références citées). Les modifications plus importantes, mais qui ne modifient pas sensiblement le projet, peuvent être soumises à une enquête complémentaire au sens de l’art. 72b du règlement du 19 septembre 1986 d'application de la LATC (RLATC; BLV 700.11.1). La procédure est la même que pour une enquête principale, les éléments nouveaux ou modifiés devront être clairement mis en évidence dans les documents produits. Enfin, les modifications qui dépassent le cadre de l'art. 72b RLATC doivent faire l’objet d’une nouvelle enquête publique principale selon l’art. 109 LATC. b) En l'occurrence, les modifications mises à l'enquête complémentaire consistent pour l'essentiel en la suppression du 2 e sous-sol. Il s'agit ainsi d'une réduction notable du projet. Le cube SIA sera du reste diminué de 300 m 3 (3320 m 3 - 3020 m 3 ) et la profondeur de la construction, respectivement de la creuse, réduite de 2,72 m (1009,65 m - 1012,37 m). La surface bâtie et la SBPU consacrée au logement demeureront inchangées, de même que le gabarit extérieur et le volume hors terre. Enfin, les autres modifications, à savoir les réaménagements intérieurs, en façade ou en toiture, les quelques ajustements du mur de soutènement aval, les changements de la pente du chemin d'accès et la pose de panneaux solaires justifient certes une enquête complémentaire, mais n'imposent pas, même considérées avec les réductions précitées, une enquête principale. c) Pour le surplus, l'on ne distingue pas en quoi le dossier mis à l'enquête ne respecterait pas les formes requises, au point que la décision attaquée doive être annulée pour ce motif. En particulier, s'il est exact que les plans principaux mentionnaient une pente de toiture de 30%, alors que cette indication passe à 45% dans les plans secondaires sans que le changement ne figure en rouge, cette imprécision est certes regrettable mais ne conduit pas à admettre le recours. Une lecture attentive révèle en effet que la pente est demeurée inchangée, la deuxième indication étant correcte.</w:t>
      </w:r>
    </w:p>
    <w:p>
      <w:r>
        <w:rPr>
          <w:b/>
        </w:rPr>
        <w:t>E. 5</w:t>
      </w:r>
    </w:p>
    <w:p>
      <w:r>
        <w:t>Dans le cadre d'une enquête complémentaire, les oppositions ou recours éventuels ne peuvent porter que sur les modifications soumises à autorisation, sans remettre en cause l'entier du projet ayant fait l'objet du premier permis de construire devenu définitif et exécutoire (AC.2014.0323 du 31 mars 2015 consid. 2b; AC.2011.0014 du 30 septembre 2011 consid. 1b et les références citées). a) En l'occurrence, les recourants dénoncent une violation de la loi fédérale du 20 mars 2015 sur les résidences secondaires (LRS; RS 702), en considérant que l'affectation des cinq appartements à la résidence principale ne serait pas établie. Ils contestent par ailleurs la constructibilité de la parcelle, la commune, surdimensionnée, devant selon eux réduire sa zone à bâtir en application de l'art. 15 de la loi fédérale du 22 juin 1979 sur l’aménagement du territoire (LAT; RS 700). Le permis délivré le 28 février 2017, au terme de l'enquête principale, est entré en force. Il autorise expressément la construction de cinq appartements, en les soumettant à restriction d'utilisation comme résidence principale, respectivement à la mention de cette restriction au registre foncier. Dans ces conditions, il statue de manière définitive tant sur la question du respect de la LRS que sur celle de la constructibilité de la parcelle. Les griefs y relatifs sont par conséquent irrecevables. b) Les recourants se plaignent encore, en substance, d'une violation de l'art. 89 LATC selon lequel toute construction sur un terrain ne présentant pas une solidité suffisante ou exposé à des dangers spéciaux tels que l'avalanche, l'éboulement, l'inondation, les glissements de terrain, est interdite avant l'exécution de travaux propres, à dire d'experts, à le consolider ou à écarter ces dangers. Ils font valoir que le terrain est répertorié en zone de danger de glissement de terrain spontané et coulées de terre, niveau de danger faible. La question des mesures constructives et géotechnique à prendre en raison de l'inclusion de la parcelle 4235 en zone de danger - faible - de glissement de terrain spontané et coulées de terre, a également été tranchée par le permis de construire du 28 février 2017 entré en force. En effet, ledit permis renvoie aux conditions imposées à cet effet par l'ECA (cf. art. 120 al. 1 let. b LATC) insérées dans la synthèse CAMAC du 20 février 2017. Le projet soumis à enquête complémentaire ne comporte aucun élément nouveau significatif à cet égard. Au contraire, en renonçant au deuxième sous-sol, il réduit la profondeur d'excavation et, partant, le risque auquel il exposerait les parcelles alentours. Quant à la modification de la pente du chemin d'accès, elle ne change rien à la problématique du glissement de terrain. Il n'y a dès lors pas lieu de traiter plus avant ce grief. Autre est la question des ancrages sous la parcelle 203, examinée ci-dessous (consid. 8).</w:t>
      </w:r>
    </w:p>
    <w:p>
      <w:r>
        <w:rPr>
          <w:b/>
        </w:rPr>
        <w:t>E. 6</w:t>
      </w:r>
    </w:p>
    <w:p>
      <w:r>
        <w:t>Les recourants font grief aux constructeurs d'avoir implanté le mur de soutènement aval à 50 cm de la limite de la parcelle 204 au lieu d' "un mètre". a) Il faut d'abord constater que le mur de soutènement aval a été autorisé par le permis délivré le 28 février 2017. Il bénéficie ainsi du principe de la chose décidée pour sa conception telle que mise à l'enquête principale. Seules ses modifications peuvent ainsi être contestées dans la présente procédure de recours. b) Le 9 décembre 2019, le bureau J.________ a attesté que le bord aval du couronnement du mur correspondait aux plans autorisés par le permis principal, une différence d'au plus 7 cm étant constatée. Cela étant, la largeur de ce couronnement avait été augmentée de 8 cm pour atteindre 28 cm au lieu de 20 cm. Enfin, le bureau a précisé que dans l'ensemble, le mur était moins élevé et plus éloigné de la limite de propriété, bien qu'une partie de sa longueur soit plus proche de la limite de 4 cm. Dans ces conditions, les modifications intervenues, mises à l'enquête complémentaire, sont mineures. De plus, les recourants n'établissent pas qu'elles auraient pour effet de rendre cet ouvrage non conforme aux règles de police des constructions. L'atteinte à l'esthétique et à l'intégration, notamment, ne saurait être réalisée par le seul élargissement du couronnement du mur de 8 cm (cf. art. 50 al. 1 RPEP et 86 LATC). Ce grief doit ainsi être écarté.</w:t>
      </w:r>
    </w:p>
    <w:p>
      <w:r>
        <w:rPr>
          <w:b/>
        </w:rPr>
        <w:t>E. 7</w:t>
      </w:r>
    </w:p>
    <w:p>
      <w:r>
        <w:t>Les recourants dénoncent la modification du segment ouest du chemin d'accès, mise à l'enquête complémentaire. a) De l'avis des recourants, la déclivité du segment ouest du chemin d'accès passerait de 10,13% à 14,80% suivant l'altitude figurant sur la façade sud du bâtiment projeté, respectivement de 13,13% à 17,8% en prenant la façade ouest. Les recourants rappellent que le chemin d'accès aménagé fait l'objet de la servitude de passage en faveur, notamment, de la parcelle 4239 des recourants C.________, D.________ et E.________. Or, l'accentuation de la pente aggraverait le risque de glissement des utilisateurs de la servitude, leur créant ainsi des inconvénients majeurs. Selon les recourants, en tant que bénéficiaires de la servitude, les recourants C.________, D.________ et E.________ auraient dû être appelés à donner leur accord à cet aménagement et à signer les plans. Tel n'ayant pas été le cas, le dossier d'enquête violerait les exigences de l'art. 108 al. 1 LATC. Les recourants soutiennent en outre qu'une pente dépassant 15% ne pourrait être autorisée, ni selon la pratique de la municipalité, ni selon les normes VSS préconisant une pente maximale de 12%. L'accès à la parcelle 4239 serait rendu difficile et dangereux, en particulier dans des conditions hivernales. b) Pour leur part, les constructeurs contestent l'ampleur de la modification de déclivité. Ils relèvent que la pente du chemin d'accès est passée entre l'enquête principale et l'enquête complémentaire de 9,77% à 14,8%, afin de permettre l'accès au garage souterrain. Une telle pente serait réglementaire. En effet, la municipalité autoriserait des pentes jusqu'à 15% pour des dévestitures privées, vu la configuration du terrain, possibilité dont auraient bénéficié de nombreuses constructions sur le territoire communal. c) Selon la jurisprudence, l'existence d'une servitude de passage en faveur des constructeurs, sur l'assiette de laquelle des travaux sont prévus, ne dispense pas les constructeurs d'obtenir l'accord du propriétaire du fonds servant, qui doit être invité à apposer sa signature sur les plans joints à la demande de permis de construire (AC.2017.0349 du 29 novembre 2018 consid. 6; RDAF 1986 p. 196). Cette jurisprudence n'est toutefois pas applicable en l'occurrence. En effet, elle ne concerne que les cas où la servitude de passage est aménagée, par les propriétaires du fonds dominant, sur le fonds servant, à savoir sur le fonds d'autrui. Tel n'est pas le cas en l'espèce, le chemin d'accès étant construit par les propriétaires du fonds servant (ici la parcelle 4235), à savoir sur leur propre fonds. Il n'y a donc pas de violation de l'art. 108 al. 1 LATC. Par ailleurs, la présente cour a jugé à plusieurs reprises que le grief du propriétaire du fonds dominant (ici la parcelle 4239) consistant à dénoncer une éventuelle atteinte à l'exercice de la servitude par des travaux à exécuter sur le fonds servant (ici la parcelle 4235) relève du droit civil, ce grief étant par conséquent irrecevable dans le cadre du contentieux de droit public relatif au permis de construire (cf. notamment AC.2017.0044 du 13 septembre 2018 consid. 2; AC.2017.0031 du 4 mai 2018 consid. 3e; AC.2013.0457 du 30 avril 2014 consid. 3b; AC.2011.0205 du 24 septembre 2012 consid. 4; AC.2011.0231 du 10 janvier 2012 consid. 3 et 4b). En l'occurrence par conséquent, les recourants ne sont pas légitimés à se prévaloir de leur qualité de bénéficiaires de la servitude de passage pour s'opposer, sous l'angle du droit civil, à la modification du chemin d'accès. d) Cela étant, les recourants demeurent habilités à dénoncer la violation par le chemin d'accès de normes de droit public, dans la mesure où un tel vice pourrait conduire à l'annulation du permis de construire complémentaire. aa) Selon les plans mis à l'enquête complémentaire, spécifiquement le plan du sous-sol, qu'il n'y a pas lieu de mettre en doute, le chemin d'accès suivra successivement, d'est en ouest, à savoir depuis le chemin des Quartiers jusqu'à la parcelle 4239, une pente de 7,5% jusqu'à l'entrée du parking souterrain, puis de 3% devant cette entrée, ensuite de 10% et, enfin, de 14,8% sur le dernier segment d'une quinzaine de mètres. bb) Conformément aux art. 22 al. 2 let. b LAT et 104 al. 3 LATC, la municipalité ne peut accorder le permis de construire que lorsque le bien-fonds est équipé pour la construction ou qu'il le sera à l'achèvement de cette dernière. Aux termes de l'art. 19 LAT, un terrain est réputé équipé lorsqu'il est desservi d'une manière adaptée à l'utilisation prévue par des voies d'accès. Une voie d'accès est adaptée à l'utilisation prévue lorsqu’elle est suffisante d’un point de vue technique et juridique pour accueillir tout le trafic de la zone qu'elle dessert (cf. ATF 129 II 238 consid. 2 p. 241; 121 I 65 consid. 3a p. 68 et les références citées; TF 1C_225/2017 du 16 janvier 2018 consid. 4.1). Dans le cadre de l'interprétation et de l'application de la notion d'accès suffisant, les autorités communales disposent d'une importante marge d'appréciation, en particulier quand il s'agit d'évaluer les circonstances locales (cf. TF 1C_471/2020 du 19 mai 2021 consid. 3.1; 1C_382/2018 du 10 juillet 2019 consid. 5.1 et les arrêts cités). Les autorités peuvent se fonder sur les normes édictées en la matière par l'Union des professionnels suisses de la route (normes VSS), étant précisé que ces normes, non contraignantes, doivent être appliquées en fonction des circonstances concrètes et en accord avec les principes généraux du droit, dont celui de la proportionnalité (cf. TF 1C_242/2019 du 7 avril 2020 consid. 3.1; 1C_155/2019 du 11 décembre 2019 consid. 5; 1C_225/2017 du 16 janvier 2018 consid. 4.1; 1C_157/2008 du 10 juillet 2008 consid. 2.1). En l'occurrence, il ne fait pas de doute qu'en elle-même, la parcelle 4235 est correctement équipée au sens des art. 19 LAT et 104 al. 3 LATC. En effet, les véhicules peuvent y accéder directement par le chemin des Quartiers. Pour le surplus, aucune des parties ne conteste que l'accès riverain tel que projeté entre la parcelle 4235 et le chemin des Quartiers respecte, en particulier, les conditions de sécurité du trafic. cc) Le RPEP traite à ses art. 85 à 90 les " voies privées et voies publiques ." Selon l'art. 85, les voies privées soumises aux exigences de ces dispositions sont " celles qui sont établies sur le domaine privé qui sont utilisées pour la circulation générale ou tendant à l'être ". D'après l'art. 86, la municipalité peut exiger, lors de l'établissement de nouvelles voies privées, que celles-ci soient établies suivant les normes adoptées pour des voies publiques d'importance équivalente. La voie litigieuse en l'espèce est vouée à desservir, outre la parcelle des constructeurs destinée à un chalet de cinq appartements, la parcelle 4239 qui demeure en l'état libre de construction, la parcelle 4228 prévue pour un chalet d'un seul appartement (cf. CAMAC 186709) et la parcelle 201 située pour l'essentiel en zone agricole. Il n'est donc pour le moins pas certain que le chemin d'accès en cause, s'achevant de surcroît en cul-de-sac, soit utilisé " pour la circulation générale ". De plus, les recourants dénoncent uniquement le segment postérieur à l'entrée du garage souterrain. Or, ce segment n’est pas destiné aux constructeurs (qui se satisfont du tronçon menant au garage), mais exclusivement aux bénéficiaires de la servitude de passage. Dans ces conditions, le segment ne participe pas à l'équipement de la parcelle litigieuse. Il n'est donc pas certain que le grief soit recevable sous cet angle. Ces questions souffrent toutefois de rester indécise, la pente du chemin d'accès devant de toute façon être tenue pour acceptable (cf. consid. 7/d/dd infra). dd) Le chemin d'accès peut être qualifié, précisément, de " chemin d'accès " au se ns du ch. 8 de la norme VSS 40 045 intitulée " Projet, bases; Type de route: routes de desserte ", notion réservée aux voies desservant de petites zones habitées jusqu'à 30 unités de logement. En ce sens, il devrait à première vue respecter la norme VSS 40 110 intitulée " Tracé; Eléments du profil en long ", recommandant pour les routes une pente maximale de 12% pour une vitesse de base de 40 km/h (ch. 1 à 4 et tableau 1 p. 2). Toutefois, la municipalité dispose en la matière d'une marge d'appréciation. Or, le tronçon litigieux ne compte qu'une quinzaine de mètres. Compte tenu de surcroît de sa situation (sur le dégagement d'une parcelle privée, imposant une vitesse réduite) et du nombre très limité de ses usagers, il peut être assimilé à une rampe non couverte. Conformément à la norme VSS 40 291a, intitulée " Stationnement; Disposition et géométrie des installations de stationnement , la déclivité maximale des rampes non couvertes destinées à des parkings privés (niveau de confort A) ne doit pas dépasser 15% (ch. 5 et 18). La pente litigieuse comptant 14,8%, force est de retenir que la municipalité n'a pas abusé de sa marge d'appréciation en la tenant pour admissible.</w:t>
      </w:r>
    </w:p>
    <w:p>
      <w:r>
        <w:rPr>
          <w:b/>
        </w:rPr>
        <w:t>E. 8</w:t>
      </w:r>
    </w:p>
    <w:p>
      <w:r>
        <w:t>Les recourants s'opposent à l'implantation d'ancrages sous la parcelle amont 203, appartenant à la recourante A.________. a) Le dossier n'indique pas clairement si des ancrages seront effectivement nécessaires. Certes, selon le rapport du 31 octobre 2018 du bureau I.________, de tels éléments devront être installés, sous forme d' " ancrages passifs provisoires ". Toutefois, dans leur écriture du 1 er septembre 2020, les constructeurs ont indiqué qu'en l'absence d'accord avec la propriétaire de la parcelle 203, ils renonceraient aux ancrages et procéderait par une paroi berlinoise. Quoi qu'il en soit, il n'est pas inutile d'éclaircir le statut juridique des ancrages en cause (consid. 8b infra). b) aa) Selon l'art. 22 al. 1 LAT, aucune construction ou installation ne peut être créée ou transformée sans autorisation de l'autorité compétente. En droit vaudois, la question de l'assujettissement des constructions à autorisation est régie par l'art. 103 LATC, prévoyant qu'aucun travail de construction ou de démolition, en surface ou en sous-sol, modifiant de façon sensible la configuration, l'apparence ou l'affectation d'un terrain ou d'un bâtiment, ne peut être exécuté avant d'avoir été autorisé (al. 1). Selon l'al. 2, ne sont pas soumis à autorisation: les constructions, les démolitions et les installations de minime importance ne servant pas à l'habitation ou à l'activité professionnelle et dont l'utilisation est liée à l'occupation du bâtiment principal (let. a); les aménagements extérieurs, les excavations et les travaux de terrassement de minime importance (let. b); les constructions et les installations mises en place pour une durée limitée (let. c). L'art. 68 al. 1 let. g RLATC prévoit que sont notamment subordonnés à l'autorisation de la municipalité, sous réserve de l'art. 68a RLATC, tous les travaux de nature à modifier de façon sensible la configuration du sol (remblai, excavation, etc.) et les travaux en sous-sol. L'art. 68a RLATC précise que tout projet de construction ou de démolition doit être soumis à la municipalité. Celle-ci, avant de décider s'il nécessite une autorisation (al. 1), vérifie si les travaux sont de minime importance au sens de l'al. 2 (let. a) et s'ils ne portent pas atteinte à un intérêt public prépondérant telle la protection de la nature, du paysage, des régions archéologiques, des sites naturels ou construits et des monuments historiques ou à des intérêts privés dignes de protection tels ceux des voisins (let. b). bb) Des ancrages en sous-sol ne constituent pas un ouvrage de minime importance, sont susceptibles de générer un impact sensible et sont par conséquent soumis à permis de construire. En l'occurrence, le permis de construire principal entré en force ne porte pas sur des ancrages, dès lors que ceux-ci ne figuraient pas sur les plans alors mis à l'enquête, ni n'avaient été mentionnés d'une autre manière. Ces ouvrages ne sont donc pas autorisés par le permis principal. Ils doivent par conséquent être examinés dans la présente procédure. c) Cas échéant, les ancrages prévus seront implantés sous la parcelle 203, appartenant à la recourante A.________. aa) Aux termes de l'art. 667 CC, la propriété du sol emporte celle du dessus et de dessous, dans toute la hauteur et la profondeur utile à son exercice. Il résulte de cette disposition que, à l’instar d’une chose mobilière, un immeuble constitue un cworps tridimensionnel, non pas une simple surface. L’extension verticale de la propriété foncière est définie par l’intérêt que présente l’exercice du droit de propriété. Cela suppose que le propriétaire ait un intérêt digne de protection quant à l'exercice, même éventuel, de son droit dans le sous-sol. Un tel intérêt n'existe, quant à un certain espace au-dessous du sol, que si le propriétaire peut dominer cet espace et exercer les possibilités d'utilisation qui découlent de la propriété (intérêt positif), ou si des agissements de tiers dans cet espace porteraient atteinte à l'utilisation du fonds (intérêt négatif), ce qu'il faut juger d'après les circonstances du cas particulier. Un intérêt digne de protection doit ainsi être admis lorsque le propriétaire veut se défendre contre les activités de tiers qui pourraient se révéler préjudiciables à l’utilisation de son fonds, par exemple en provoquant un affaissement de terrain. Il n'y a en revanche pas d'intérêt digne de protection si les travaux sont faits à une si grande profondeur qu'il n'y a pas de risque d'effondrements, ni d'autres nuisances pour le propriétaire (ATF 145 II 32 consid. 2.1; 132 III 689 consid. 4.2; 132 III 353 consid. 2.1; Paul-Henri Steinauer, Les droits réels, tome II, 5 e éd., Berne 2020, n. 2244 ss, spéc. n. 2252, et les références citées). bb) En l'espèce, les constructeurs n'exposent ni n'établissent que les ancrages qu'ils envisagent dans le sous-sol de la parcelle 203, bâtie, n'entraîneraient aucun risque ou nuisance pour ce bien-fonds. Par conséquent, force est de retenir que ces ancrages, s'ils doivent être construits, seront situés dans l'extension souterraine de la propriété de la parcelle 203. En d'autres termes, ils seront aménagés sur le fonds d'autrui. Or, les constructeurs ne disposent d'aucun titre juridique leur permettant d'empiéter pareillement sur le fonds d'autrui (cf. art. 104 al. 2 LATC). Ils n'ont pas davantage produit un plan des ancrages signé par la propriétaire de la parcelle 203 (cf. art. 108 al. 1 LATC). Des discussions ont été menées, mais sans succès en l'état. La décision attaquée doit ainsi être réformée en ce sens que le permis de construire est délivré à la condition que les éventuels ancrages soient intégralement fixés sur la parcelle des constructeurs.</w:t>
      </w:r>
    </w:p>
    <w:p>
      <w:r>
        <w:rPr>
          <w:b/>
        </w:rPr>
        <w:t>E. 9</w:t>
      </w:r>
    </w:p>
    <w:p>
      <w:r>
        <w:t>Enfin, les recourants contestent les panneaux solaires mis à l'enquête complémentaire, craignant que ceux-ci ne les éblouissent. a) Selon l'art. 18a LAT, dans les zones à bâtir et les zones agricoles, les installations solaires " suffisamment adaptées aux toits ", et qui ne sont pas installées sur des biens culturels, ou dans des sites naturels d'importance cantonale ou nationale, ne nécessitent pas d’autorisation de construire. De tels projets doivent être simplement annoncés à l’autorité compétente. L'art. 32a de l'ordonnance du 28 juin 2000 sur l'aménagement du territoire (OAT; RS 700.1) précise ce qu'il faut entendre par une adaptation suffisante aux toits, dans les termes suivants: Art. 32a   Installations solaires dispensées d’autorisation 1 Les installations solaires sont considérées suffisamment adaptées aux toits (art. 18a, al. 1, LAT) si les conditions suivantes sont réunies: a.  elles ne dépassent pas les pans du toit perpendiculairement de plus de 20 cm; b.  elles ne dépassent pas du toit, vu de face et du dessus; c.  elles sont peu réfléchissantes selon l’état des connaissances techniques; d.  elles constituent une surface d’un seul tenant. 2 Les dispositions concrètes fondées sur le droit cantonal traitant de l’intégration desdites installations s’appliquent lorsqu’elles visent de manière proportionnée la défense d’intérêts de protection justifiés et ne limitent pas l’exploitation de l’énergie solaire plus strictement que l’al. 1. 3 Les projets dispensés d’autorisation doivent être annoncés avant le début des travaux à l’autorité délivrant les autorisations de construire ou à une autre autorité déclarée compétente pour recevoir les annonces par la législation cantonale. La législation cantonale fixe le délai dans lequel l’annonce doit être faite et précise quels plans et autres documents doivent y être joints. b) En l'espèce, les panneaux solaires ne sont pas d'un seul tenant, puisqu'ils sont répartis de part et d'autre du faîte. Il en résulte qu'à la lettre de l'art. 32a al. 1 let. d OAT, ils ne peuvent pas être dispensés d'autorisation. Peu importe toutefois, dès lors que celle-ci a, précisément, été demandée par les constructeurs et accordée par la municipalité. Pour le surplus, l'on ne discerne pas de motifs devant conduire à annuler la décision de la municipalité sur ce point. Il appartiendra à la municipalité, dans le cadre de son devoir de surveillance pendant la phase d'exécution des travaux (cf. art. 124 à 129 LATC), de s'assurer que les capteurs solaires soient peu réfléchissants selon l'état des connaissances techniques, conformément à l'art. 32 al. 1 let. c OAT. Le grief doit ainsi être écarté.</w:t>
      </w:r>
    </w:p>
    <w:p>
      <w:r>
        <w:rPr>
          <w:b/>
        </w:rPr>
        <w:t>E. 10</w:t>
      </w:r>
    </w:p>
    <w:p>
      <w:r>
        <w:t>En définitive, le recours doit être partiellement admis et la décision attaquée réformée dans le sens du consid. 8c qui précède. Conformément aux art. 49 al. 1 et 55 al. 2 LPA-VD, les frais et dépens sont mis à la charge de la partie qui succombe. Selon la jurisprudence, lorsque la procédure met en présence, outre le recourant et l'autorité intimée, une ou plusieurs parties dont les intérêts sont opposés à ceux du recourant, c'est en principe à cette partie adverse déboutée, à l'exclusion de la collectivité publique dont la décision est annulée ou modifiée, d'assumer les frais et dépens (cf. CDAP AC.2020.0299 du 5 mars 2021 consid. 4; RDAF 1994 p. 324 et les références citées). En l'espèce, dès lors que les recourants obtiennent partiellement gain de cause, il convient de répartir l'émolument de justice de 2'500 fr. à raison de quatre cinquième (2000 fr.) à leur charge et d'un cinquième (soit 500 fr.) à charge de des constructeurs. Toutes les parties ayant été assistées d'un avocat, elles peuvent prétendre chacune à des dépens, réduits de quatre cinquièmes (soit à 400 fr.) pour les recourants, respectivement d'un cinquième (soit à 1'600 fr.) pour les constructeurs et la commune. Les montants dus réciproquement par les recourants et les constructeurs seront partiellement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