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AC.2020.0051 vom 6. Oktober 2021</w:t>
      </w:r>
    </w:p>
    <w:p>
      <w:r>
        <w:t>VD Tribunal cantonal, 2021-10-06, FR</w:t>
      </w:r>
    </w:p>
    <w:p>
      <w:r>
        <w:rPr>
          <w:b/>
        </w:rPr>
        <w:t xml:space="preserve">Quelle: </w:t>
      </w:r>
      <w:r>
        <w:t>https://mcp.opencaselaw.ch/entscheid/vd_omni_AC.2020.0051</w:t>
      </w:r>
    </w:p>
    <w:p>
      <w:r>
        <w:t>FR: VD_OMNI AC.2020.0051 du 6 octobre 2021</w:t>
      </w:r>
    </w:p>
    <w:p>
      <w:r>
        <w:t>IT: VD_OMNI AC.2020.0051 del 6 ottobre 2021</w:t>
      </w:r>
    </w:p>
    <w:p>
      <w:pPr>
        <w:pStyle w:val="Heading2"/>
      </w:pPr>
      <w:r>
        <w:t>Regeste</w:t>
      </w:r>
    </w:p>
    <w:p>
      <w:r>
        <w:t>A.____, B.____, C._____, D.____, E.____, F.____, G.____, H.____, I.____, J.____, K.____, L.____, M.____/Municipalité de La Tour-de-Peilz, N.____ O.____, P.____ | Recours contre une autorisation de construire un bâtiment de cinq appartements, un garage fermé et cinq places de parc extérieures, sur une parcelle sise en zone d'habitation de forte densité. Critiques relatives au PGA en vigueur écartées: ledit plan ne fait pas l'objet du litige et un éventuel contrôle préjudiciel ne se justifie pas (consid. 2). Le chemin d'accès existant constitue une voie d'accès suffisante: il s'agit d'un chemin de quartier, à faible trafic, rectiligne et à sens unique, sur lequel la vitesse est limitée à 30 km/h, étant précisé que le projet n'induira qu'une faible augmentation de trafic (consid. 3). La configuration des places de parc en bordure immédiate de la voie publique est conforme aux art. 39 LRou et 8 RLRou, ainsi qu'aux normes VSS (consid. 4). Enfin, le projet respecte la clause d'esthétique et d'intégration: le bâtiment projeté sera plus imposant et contemporain que les bâtiments sis dans la rue concernée, mais n'altérera pas l'équilibre du site, ni les jardins historiques (ICOMOS) situés à proximité (consid. 5). Recours rejeté. Recours au TF rejeté (1C_664/2021).</w:t>
      </w:r>
    </w:p>
    <w:p>
      <w:pPr>
        <w:pStyle w:val="Heading2"/>
      </w:pPr>
      <w:r>
        <w:t>Erwägungen</w:t>
      </w:r>
    </w:p>
    <w:p>
      <w:r>
        <w:rPr>
          <w:b/>
        </w:rPr>
        <w:t>E. 1</w:t>
      </w:r>
    </w:p>
    <w:p>
      <w:r>
        <w:t>Interjeté dans le délai de 30 jours prévu par l'art. 95 de la loi vaudoise du 28 octobre 2008 sur la procédure administrative (LPA-VD; BLV 173.36), le recours est intervenu en temps utile. Les recourants ont tous participé à la procédure devant l'autorité précédente, conformément aux exigences posées par l'art. 75 LPA-VD. Ils sont en outre dans leur grande majorité propriétaires de fonds voisins de la parcelle n° 743; la question de savoir si certains d'entre eux sont situés suffisamment près du projet litigieux pour qu'ils puissent invoquer un intérêt digne de protection peut rester ouverte, de même que celle de savoir si des locataires peuvent agir en pareille situation, dès lors que les recourants agissent ensemble, représentés par un seul et même conseil. En effet, la qualité pour agir de l'un des recourants valide la recevabilité de la procédure du groupe de consorts (cf. Benoît Bovay, Procédure administrative, Berne 2000, pp. 138-139). Le mémoire de recours satisfait par ailleurs aux autres conditions formelles de recevabilité (art. 79 LPA-VD, applicable par renvoi de l'art. 99 LPA-VD), si bien qu'il y a lieu d'entrer en matière sur le fond.</w:t>
      </w:r>
    </w:p>
    <w:p>
      <w:r>
        <w:rPr>
          <w:b/>
        </w:rPr>
        <w:t>E. 2</w:t>
      </w:r>
    </w:p>
    <w:p>
      <w:r>
        <w:t>A l'appui des différents griefs soulevés, les recourants critiquent le nouveau PGA, entré en vigueur le 15 mai 2019. a) aa)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bb) En l'espèce, les décisions attaquées portent sur la levée des oppositions formées au projet de construction litigieux et la délivrance du permis de construire sollicité. Aux termes de ses conclusions, le recours vise principalement la réforme des décisions en cause en ce sens que le permis de construire est refusé et, subsidiairement, leur annulation et le renvoi du dossier à l'autorité intimée pour nouvelle décision dans le sens des considérants. Il en découle que le PGA - entré en vigueur le 15 mai 2019 sans avoir été attaqué par les recourants - ne fait pas l'objet de la présente procédure et que les critiques dirigées directement contre celui-ci excèdent l'objet du litige. b) Par ailleurs, un éventuel contrôle préjudiciel du PGA ne se justifie manifestement pas dans le cas d'espèce.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du 22 juin 1979 sur l'aménagement du territoire (LAT; RS 700)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p. 44 s. et les références; 127 I 103 consid. 6b p. 105).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p. 45 et les références).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(arrêt TF 1C_190/2020 du 9 février 2021 consid. 2.2.1). bb) En l'occurrence, le PGA a fait l'objet d'une procédure d'établissement et d'adoption au sens des art. 34 ss de la loi du 4 décembre 1985 sur l'aménagement du territoire et les constructions (LATC; BLV 700.11) et est entré en vigueur il y a juste deux ans. On voit dès lors mal quelles circonstances pourraient justifier - après un si court laps de temps - une adaptation de ce plan; les recourants se contentent d'ailleurs de critiquer la densité des constructions désormais autorisées par le RPGA. Partant, les conditions de l'art. 21 al. 2 LAT ne sont manifestement pas remplies. c) En conclusion, les critiques des recourants - en tant qu'elles portent sur le PGA en tant que tel - tombent à faux.</w:t>
      </w:r>
    </w:p>
    <w:p>
      <w:r>
        <w:rPr>
          <w:b/>
        </w:rPr>
        <w:t>E. 3</w:t>
      </w:r>
    </w:p>
    <w:p>
      <w:r>
        <w:t>Les recourants font valoir que l'accès à la parcelle n° 743 ne serait pas suffisant et qu'en conséquence il y aurait lieu de considérer dite parcelle comme insuffisamment équipée. a) En substance, se référant aux normes établies par l'Association suisse des professionnels de la route et des transports (ci-après: normes VSS), les recourants soutiennent que le chemin Adolphe-Burnat ne serait pas suffisamment large pour assurer les croisements et la cohabitation entre les utilisateurs du chemin. Par ailleurs, ils estiment que, dans l'hypothèse où les différentes parcelles desservies par le chemin exploiteraient au maximum les droits à bâtir découlant du nouveau PGA, le trafic supplémentaire ne pourrait pas être absorbé. b) aa) Dans la mesure où le chemin Adolphe-Burnat n'a pas été créé récemment et où il dessert les bâtiments d'habitation érigés de part et d'autre depuis des décennies, on peut se demander si l'examen de la notion d'équipement est véritablement nécessaire en l'espèce. Il ne fait en effet aucun doute que toutes les parcelles du centre de La Tour-de-Peilz, désormais colloquées en zone d'habitation de forte densité, sont considérées comme "équipées" au sens de la LAT et de la LATC. Il convient toutefois de répondre au grief soulevé par les recourants. bb)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(arrêts TF 1C_430/2015 du 15 avril 2016 consid. 3.1; 1C_246/2009 du 1 er février 2010 consid. 4.1 et les références citées).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AC.2018.0212 du 2 mai 2019 consid. 4d/aa; AC.2016.0305 du 3 août 2017 consid. 3a). En outre, dans le cadre de l'interprétation et de l'application de la notion d'accès suffisant, les autorités communales disposent d'une importante marge d'appréciation, en particulier quand il s'agit d'évaluer les circonstances locales (cf. arrêt du TF 1C_382/2018 du 10 juillet 2019 consid. 5.1 et les arrêts cités). Les autorités peuvent se fonder sur les normes VSS. Ces normes, non contraignantes, sont l’expression de la science et de l’expérience de professionnels éprouvés et peuvent donc être prises en considération comme un avis d’expert. Elles doivent être appliquées en fonction des circonstances concrètes et en accord avec les principes généraux du droit, dont celui de la proportionnalité (CDAP AC.2018.0140 du 6 février 2019 consid. 1a; AC.2018.0225 du 9 octobre 2019 consid. 2a et les références citées). c) En l'espèce, on accède à la parcelle n° 743 par le chemin Adolphe-Burnat. Ce chemin relie l'avenue des Alpes à l'avenue de Bel-air et dessert les différentes parcelles qui le bordent de part et d'autre, notamment la parcelle n° 751 (sise en bout de chemin) qui accueille une école. L'inspection locale a permis de constater que le chemin concerné ne présente pas de marquage au sol (du moins à la date de l'inspection locale) et qu'il est rectiligne entre son extrémité ouest (à l'angle avec l'avenue des Alpes) et la parcelle n° 744 où il forme un coude et où sont aménagés une petite place et un banc. Lors de la vision locale, le tribunal a pu noter que le chemin est bordé, de part et d'autre, d'un muret ‑ interrompu par les voies d'accès aux différentes habitations, les places de parc, voire les garages - surmonté en général de barrières et bordé de plantations. Il ressort par ailleurs des explications données par l'autorité intimée que le chemin a récemment fait l'objet de travaux d'aménagements et qu'un nouveau dispositif de circulation a été mis en place dans ce cadre. A cet égard, le tribunal a constaté que la circulation s'effectue en sens unique sur le tronçon concerné (en direction de l'avenue de Bel-Air) ‑ excepté pour les cyclistes qui sont autorisés à circuler dans les deux sens ‑ et que la vitesse est limitée à 30 km/h, étant précisé que le début de la zone de limitation de vitesse (à l'angle avec l'avenue des Alpes) est indiqué à la fois par un panneau de signalisation, ainsi que par une légère différence de niveau et quelques places de stationnements latérales. Enfin, lors de l'audience sur place, le tribunal a relevé que le chemin présente un faible trafic motorisé, mais est passablement emprunté par les piétons et les vélos, notamment les enfants se rendant à l'école sise sur la parcelle n° 751. Ainsi, nonobstant le fait que le chemin Adolphe-Burnat relie deux avenues présentant un trafic motorisé plus important, il est constant qu'il ne sert pas d'itinéraire de transit. Il s'agit bien plutôt d'un chemin de quartier, présentant un faible trafic, principalement emprunté par les habitants des parcelles qu'il dessert, sur lequel la sécurité doit être considérée comme garantie; comme on l'a constaté, le chemin est en effet rectiligne, à sens unique sur le tronçon concerné et la vitesse y est limitée à 30 km/h. L'absence de marquage au sol, les accès des différentes parcelles débouchant sur le chemin et le fait que ce dernier soit emprunté par des écoliers à certaines heures sont autant de circonstances qui tendront probablement à induire un comportement prudent des conducteurs et une vitesse plus basse que la vitesse signalisée. En tout état, les aménagements récemment réalisés sont sans aucun doute de nature à renforcer la sécurité de l'ensemble des usagers du chemin. L'accès doit au demeurant être considéré comme suffisamment large, étant précisé qu'il ne doit pas permettre les croisements de véhicules motorisés. Le projet ne prévoit d'ailleurs pas de modifier la largeur du chemin au droit de la parcelle n° 743; il n'est en effet question que du maintien de l'accès existant, dont il n'est pas allégué qu'il serait source de difficultés particulières. Pour ce qui est de l'augmentation du trafic liée au projet, elle sera faible, le bâtiment ne comptant que cinq places de stationnement supplémentaires par rapport à la situation existante. Enfin, contrairement à ce que soutiennent les recourants, l'autorité intimée n'avait pas à prendre en compte, dans son examen du cas d'espèce, l'hypothèse de l'exploitation maximale des droits à bâtir découlant du nouveau PGA pour l'ensemble des parcelles desservies par le chemin concerné. Partant, au regard de l'ensemble des éléments évoqués, il apparaît que le chemin Adolphe-Burnat constitue une voie d'accès suffisante à la parcelle n° 743, praticable pour le trafic et n'exposant pas ses usagers à des dangers excessifs. Dans cette mesure, la question - soulevée de manière peu claire par les recourants - de savoir si le chemin concerné doit être qualifié de "chemin d'accès" au sens des normes VSS peut demeurer indécise. Mal fondé, le grief est rejeté.</w:t>
      </w:r>
    </w:p>
    <w:p>
      <w:r>
        <w:rPr>
          <w:b/>
        </w:rPr>
        <w:t>E. 3.6</w:t>
      </w:r>
    </w:p>
    <w:p>
      <w:r>
        <w:t>p. 59). On relève à cet égard qu'il existe un intérêt public à densifier les centres urbains conformément à ce que prescrit désormais la loi sur l'aménagement du territoire (art. 3 al. 3 let. abis LAT; arrêt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p. 63;  arrêt TF 1C_116/2018 du 26 octobre 2018 consid. 5.3 et les références citées).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(arrêt TF 1C_349/2018 du</w:t>
      </w:r>
    </w:p>
    <w:p>
      <w:r>
        <w:rPr>
          <w:b/>
        </w:rPr>
        <w:t>E. 4</w:t>
      </w:r>
    </w:p>
    <w:p>
      <w:r>
        <w:t>Les recourants s'en prennent ensuite aux places de stationnement prévues par le projet. a) Les recourants soutiennent que la disposition des cinq places de stationnement extérieures, prévues directement en bordure du chemin, de manière perpendiculaire à celui-ci, nuirait à la sécurité du trafic et serait dès lors contraire à la législation sur les routes (art. 39 de la loi du 10 décembre 1991 sur les routes [LRou; BLV 725.01] et 8 du règlement d'application de la LRou du 19 janvier 1994 [RLRou; BLV 725.01.1]. A cet égard, ils exposent, d'une part, que la visibilité - au sortir des places en marche arrière lorsqu'un ou plusieurs autres véhicules seraient déjà stationnés - ne serait pas suffisante et, d'autre part, que la largeur du chemin ne permettrait vraisemblablement pas d'entrer ou de sortir des places en une fois, sans manoeuvrer. Enfin, les places ne seraient pas conformes aux normes VSS. A l'appui de leur argumentation, les recourants se réfèrent au rapport de la société N.________ du 29 avril 2020, qui confirmerait que la disposition des places litigieuses représenterait un " déficit de sécurité significatif " et serait " peu propice " eu égard aux manœuvres en marche arrière qui devraient être réalisées pour entrer et sortir des places, au droit du chemin d'accès sis sur la parcelle n° 823. b) Selon le plan de situation du 15 janvier 2020 approuvé par l'autorité intimée le 27 janvier 2020 (la variante ultérieure proposée par les constructeurs relative à une disposition des places en épi n'ayant pas été retenue par les parties), il est prévu d'aménager les places en question les unes à côté des autres, de manière perpendiculaire au chemin Adolphe-Burnat, en retrait d'environ 1,85 m de celui-ci. D'après le plan précité, les cases, qui présentent une dimension de 5,00 m de longueur et de 2,65 m de largeur, débordent en partie de l'alignement du 26 août 1931. Elles font en outre face à la parcelle n° 823, notamment au chemin d'accès véhicules que comporte cette parcelle le long de sa limite nord de propriété. Il ressort en outre du plan de situation que la parcelle n° 743 ne comporte, le long du chemin Adolphe-Burnat, pas d'autres aménagements que les places en question. On constate ainsi que les places litigieuses s'inscrivent à la fois dans les espaces réglementaires et au-delà de l'alignement précité des constructions. Dans cette mesure, on examinera la conformité desdites places tant sous l'angle de l'art. 39 RLATC relatif aux dépendances de peu d'importance (prenant place dans les espaces réglementaires), que sous l'angle de l'art. 39 LRou relatif aux aménagements extérieurs (pouvant prendre place au-delà d'une limite des constructions), étant précisé que les places de stationnement à l'air libre sont assimilées à des aménagements extérieurs au sens de cette disposition (CDAP AC.2012.0151 du 19 décembre 2012 consid. 4). c) L'art. 39 RLATC dispose qu'à défaut de dispositions communales contraires - comme c'est le cas en l'espèce -,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citées). Pour interpréter ces notions,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AC.2018.0136 du 8 août 2019 consid. 3a/bb et les références citées). Aux termes de l'art. 39 LRou, des aménagements extérieurs tels que mur, clôture, haie ou plantation de nature à nuire à la sécurité du trafic, notamment par une diminution de la visibilité, ne peuvent être créés sans autorisation sur les fonds riverains de la route. L'art. 8 RLRou précise en particulier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(al. 2) de 60 centimètres lorsque la visibilité doit être maintenue (a), de 2 mètres dans les autres cas (b). d) En l'espèce, la disposition des places projetées impose soit d'y entrer en marche avant et d'en ressortir en marche arrière, soit de manœuvrer de manière à y entrer en marche arrière, puis d'en ressortir en marche avant. En application de la norme VSS 40 291a portant sur la disposition et la géométrie des installations de stationnement, on constate que les dimensions et la disposition des places de stationnement projetées devraient permettre, compte tenu de la largeur du chemin (soit 4,00 m selon le plan de situation) et du faible trafic qu'il présente, d'effectuer les manœuvres nécessaires pour entrer et sortir sans difficultés, étant précisé que l'on est en présence d'un niveau de confort "A", applicable pour les bâtiments résidentiels comme c'est le cas en l'espèce (cf. tableau 1, p. 5, pour le niveau de confort; tableau 3, p. 13, pour les dimensions minimales des cases de stationnement obliques ou perpendiculaires en fonction du niveau de confort). Dans ces circonstances, on retiendra que les places de stationnement projetées - en bordure immédiate du chemin Adolphe-Burnat - ne devraient pas poser de difficultés particulières sous l'angle de la sécurité, étant précisé que la visibilité est dégagée en direction de l'avenue des Alpes d'où provient le trafic motorisé. Le projet doit dès lors être considéré comme conforme aux art. 39 LRou et 8 RLRou. Il est vrai que le projet litigieux, en prévoyant des places de stationnement alignées côte à côte, induit la suppression, sur une grande portion, du muret en pierre que l'on retrouve le long du chemin Adolphe-Burnat. Une configuration différente des places de stationnement, proposant un regroupement sur une surface rectangulaire dans laquelle on entrerait en marche avant pour se parquer parallèlement au chemin et dont on pourrait ressortir aussi en marche avant, aurait permis de préserver une plus grand partie du muret et d'éviter des manœuvres en marche arrière sur le chemin. Cette configuration ne saurait toutefois être imposée par la Cour dès lors que la solution validée par la municipalité n'est pas contraire aux dispositions légales et réglementaires s'y appliquant. Enfin, contrairement à ce que soutiennent les recourants, on ne voit pas en quoi la disposition des places litigieuses pourrait être source de gêne pour les véhicules débouchant sur le chemin Adolphe-Burnat depuis le chemin d'accès sis sur la parcelle n° 823; comme on vient en effet de le voir, l'espace disponible sur le chemin et la parcelle n° 743 permettra d'effectuer les manoeuvres nécessaires sans empiéter sur les parcelles voisines. Il s'ensuit que le projet doit également être considéré comme conforme à l'art. 39 al. 4 RLATC. En conclusion, c'est à bon droit que l'autorité intimée a autorisé les places de stationnement litigieuses. Mal fondé, le grief est rejeté.</w:t>
      </w:r>
    </w:p>
    <w:p>
      <w:r>
        <w:rPr>
          <w:b/>
        </w:rPr>
        <w:t>E. 5</w:t>
      </w:r>
    </w:p>
    <w:p>
      <w:r>
        <w:t>Les recourants soutiennent que le projet ne satisferait pas aux exigences posées en matière d'esthétique et d'intégration. a) aa) La LAT a pour but de veiller à une occupation du territoire propre à garantir un développement harmonieux de l'ensemble du pays (art. 1 al. 1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vaudoise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(RLPNMS; BLV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AC.2019.0130 du 16 janvier 2020 consid. 3a/bb). Le recensement des parcs et jardins historiques du canton de Vaud a été réalisé dans le cadre d'un projet initié par la section suisse de l'ICOMOS. Il ne s'agit pas à proprement parler d'un recensement architectural des constructions mais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AC.2018.0225 du 9 octobre 2019 consid. 1 b/ba; AC.2015.0153 du 15 septembre 2016 consid. 6 et les références citées).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à la municipalité de veiller à ce que les constructions, quelle que soit leur destination, ainsi que les aménagements qui leur sont liés, présentent un aspect architectural satisfaisant et s'intègrent à l'environnement (al. 1). La municipalité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la disposition suivante en matière d'esthétique: " Article 19 Esthétique et intégration des constructions 1 La Municipalité prend toutes les mesures utiles pour obtenir un aspect architectural harmonieux et une bonne intégration environnementale des constructions et installations. 2 Elle peut imposer l'implantation des constructions, l'orientation des faîtes, la dimension des avant-toits, la pente des toitures et la couverture de celles-ci, la couleur et les matériaux, afin notamment de tenir compte des bâtiments voisins et du caractère de la zone concernée. 3 Elle peut exiger la plantation d'arbres, de groupes d'arbres ou de haies pour masquer les installations existantes inesthétiques et en fixer les essences. 4 Les entrepôts et dépôts ouverts à la vue du public sont interdits." dd)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(cf.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de ne pas se laisser guider par des considérations étrangères à la réglementation pertinente (ATF 145 I 52 consid. 3.6 p. 59). En matière d'esthétique, le principe de la proportionnalité exige que les intérêts locaux liés à l'intégration des constructions soient mis en balance avec les intérêts privés et publics à la réalisation du projet litigieux (ATF 145 I 52 consid. 3.6 p. 59; 115 Ia 370). Il convient en particulier de tenir compte des objectifs poursuivis par la législation fédérale au sens large sur l'aménagement du territoire (ATF 145 I 52 consid.</w:t>
      </w:r>
    </w:p>
    <w:p>
      <w:r>
        <w:rPr>
          <w:b/>
        </w:rPr>
        <w:t>E. 8</w:t>
      </w:r>
    </w:p>
    <w:p>
      <w:r>
        <w:t>février 2019 consid. 4.2; CDAP AC.2018.0281/0282 du 6 mai 2019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récente concernent la commune de Lausanne (arrêt TF 1C_360/2018 précité). Dans cette affaire,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(arrêt TF 1C_360/2018 précité consid. 4.2.3 et l'arrêt cité).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AC.2018.0281/0282 précité consid. 1b; AC.2015.0182 du 26 avril 2016 consid. 6b; AC.2013.0478 du 3 septembre 2014 consid. 1a/cc et les références). b) Les recourants critiquent tant l'esthétique du projet de construction, que son intégration au bâti environnant. En substance, ils exposent que le bâtiment projeté s'apparenterait à un bloc monolithique de grande taille, au toit presque plat et aux percements sans variation, et que les aménagements extérieurs se résumeraient à une surface minérale dévégétalisée et à trois arbres. Le projet, par son style contemporain, trancherait avec la qualité du bâti environnant et les jardins des parcelles voisines - dont certains seraient recensés à l'ICOMOS - et dévalorisait le front de rue qui mériterait d'être préservé. L'autorité intimée considère, pour sa part, que le projet est admissible sous l'angle de l'esthétique et de l'intégration. Aux termes de la décision attaquée, l'examen de la municipalité a porté sur la toiture du bâtiment (nombre de pans et pente), ses ouvertures, les matériaux apparents utilisés et les aménagements extérieurs (végétation, revêtement des places de stationnement). L'autorité intimée a également pris en considération dans son analyse l'image de synthèse au dossier, qui représente les faces nord-est et sud-est du bâtiment projeté, ainsi que les aménagements extérieurs donnant sur le chemin Adolphe-Burnat (vus du sud-est). L'autorité intimée a par ailleurs relevé, dans la décision attaquée et la réponse au recours, que les constructeurs n'avaient pas pleinement utilisé les possibilités de bâtir découlant du nouveau PGA, s'agissant de la hauteur et de l'indice d'utilisation du sol. Sous l'angle de la protection du patrimoine, l'autorité intimée rappelle que le PGA de la commune est récent et que, dans ce cadre, les services cantonaux ont eu l'occasion de recenser les éléments dignes de protection et d'examiner les questions liées à la préservation du patrimoine architectural, mais n'ont toutefois pas fait le choix d'inscrire le quartier dans un inventaire. Quant aux jardins historiques recensés à l'ICOMOS, sis à proximité de la parcelle n° 743, ils ne seraient pas touchés par le projet et ne seraient, en tout état, en eux-mêmes, pas protégés. c) En l'espèce, il ressort des plans au dossier que le bâtiment projeté reprend le même alignement (imposé par l'existence d'une servitude) que la villa existante par rapport à la route. Il présente en revanche un gabarit et une hauteur supérieurs à la villa existante et comporte un toit (à deux pans) à très faible pente; il paraîtra dès lors plus imposant, tout en maintenant la même distance à la route. Selon les indications contenues dans le formulaire de demande de permis de construire et les explications données par l'autorité intimée (rappelées ci-avant et non contestées par les recourants), le projet n'exploite toutefois pas au maximum les possibilités de bâtir, que ce soit sous l'angle de la hauteur ou du coefficient d'utilisation du sol. L'image de synthèse au dossier permet par ailleurs de se rendre compte du fait que le bâtiment projeté présentera un style un peu plus contemporain que la villa existante, dont l'architecture se distingue déjà de celle des bâtiments voisins. S'agissant des aménagements extérieurs, il ressort du plan de situation que la partie de la parcelle bordant la route sera aménagée en place d'accès, accueillant les places de stationnement extérieures qui seront séparées du bâtiment par trois arbres. Hors la disparition du muret, l'aménagement prévu n'apportera pas de très gros changements à cette partie de la parcelle, aujourd'hui déjà très dégagée et peu arborisée. S'agissant du bâti environnant, la cour a pu constater lors de l'inspection locale que les fronts de rue (est et ouest) du chemin Adolphe-Burnat présentent des aspects distincts, tant s'agissant de la densité du bâti que du style des constructions. Cette différence ressort également des photographies disponibles sur le site du Guichet cartographique cantonal (sous la thématique "patrimoine"); les constructions paraissent globalement plus bourgeoises et cossues du côté est. Au cours de la vision locale, le tribunal a par ailleurs pu se rendre compte que le chemin Adolphe-Burnat accueille non seulement des villas, qui pour certaines en tout cas comportent plusieurs appartements, mais également deux bâtiments locatifs plus imposants sis à l'entrée du chemin sur les parcelles n os 816 et 817 (ce que confirme le plan n° 2 produit par les recourants en audience). Les constructeurs ont, quant à eux, fait remarquer que des bâtiments de relativement grande taille se trouvent à l'avenue de Bel-Air et à l'avenue de la Perrausaz. S'agissant de l'implantation des bâtiments le long du chemin Adolphe-Burnat, les vues aériennes disponibles sur le site du Guichet cartographique cantonal permettent d'observer que les bâtiments sis de part et d'autre du chemin sont alignés et que la villa existante sur la parcelle n° 743 rompt avec cet alignement par son retrait vers l'intérieur de la parcelle. Le tribunal a en outre constaté que le chemin Adolphe-Burnat est bordé, de part et d'autre (sur une partie de sa longueur), d'un muret marquant une continuité entre les parcelles. Enfin, le plan n° 2 relatif aux bâtiments existants produit par les recourants en audience permet encore d'observer une certaine diversité dans les toitures des bâtiments bordant le chemin. Sous l'angle de la protection du patrimoine, il ressort des informations disponibles sur le site du Guichet cartographique cantonal (sous la thématique "patrimoine") que les bâtiments bordant le chemin Adolphe-Burnat ne sont pas recensés dans un quelconque inventaire. Pour ce qui est des jardins historiques évoqués par les recourants, il apparaît que la parcelle n° 743 ne fait pas partie des deux périmètres de jardins recensés à l'ICOMOS (347-5 et 347-6), lesquels ne bénéficient au demeurant pas d'une protection particulière par leur simple recensement, comme l'a relevé l'autorité intimée. Il apparaît ainsi que le quartier présente déjà, à certains égards, une diversité des constructions. En outre, la parcelle n° 743 se trouve du côté ouest du chemin Adolphe-Burnat, où les constructions sont de style moins bourgeois et cossu. Si l'on ne peut pas nier que le bâtiment projeté sera d'aspect plus imposant et contemporain que certains autres bâtiments sis au chemin Adolphe-Burnat, il n'en demeure pas moins qu'il n'altèrera pas l'équilibre du site et ne modifiera pas de manière radicale l'aspect de la rue à la hauteur de la parcelle n° 743; comme on l'a vu, la villa existante se distingue déjà des bâtiments voisins par son implantation et son aspect relativement moderne et le quartier comporte également des bâtiments locatifs de gabarits supérieurs. On peut toutefois regretter que le projet ne prévoie pas le maintien du muret bordant la rue, lequel doit être considéré comme un élément caractéristique de celle-ci. En tout état, le quartier ne bénéficie d'aucune protection particulière et est situé dans une zone permettant désormais une densité de construction plus importante (zone d'habitation de forte densité), que les constructeurs n'ont du reste pas entièrement exploitée. A cet égard, on rappellera que l'exploitation des possibilités de construire correspond à un intérêt public, selon la jurisprudence récente du Tribunal fédéral. Enfin, le projet ne touchera pas les jardins recensés à l'ICOMOS. Au vu de l'ensemble de ces éléments, si l'autorité intimée estime que le projet respecte la clause d'esthétique et d'intégration, on voit mal en quoi son appréciation serait critiquable, ce d'autant plus qu'elle repose sur des critères objectifs et pertinents (toitures, ouvertures, matériaux, aménagements extérieurs, protection des bâtiments et jardins). Partant, la décision attaquée doit être confirmée sur ce point. 6. Les recourants estiment enfin que, compte tenu de la nature du quartier concerné et des enjeux en matière de protection du patrimoine bâti, l'autorité intimée aurait dû soumettre le projet de construction litigieux à la Commission consultative d'urbanisme (CCU), pour préavis. a) L'art. 4 RPGA a la teneur suivante: " [...] 3 La CCU préavise sur: § les plans d'affectation spéciaux; § les matières que le présent règlement réserve à son examen; § tout projet de construction, de transformation ou de rénovation inscrit dans l'une des zones suivantes: Bourg (art. 38 ss.), installations publiques (art. 85 ss.) ou verdure (art. 96 ss.); § toute autre question soumise par la Municipalité." b) En l'espèce, le projet litigieux est situé dans la zone de forte densité ne requérant pas de préavis de la CCU. Il ne porte au demeurant pas sur une matière que le RPGA réserve à l'examen de cette commission. Partant, l'absence de préavis de la CCU lors de la procédure de délivrance du permis de construire litigieux n'est pas critiquable. Mal fondé, ce dernier grief est écarté. 7. Il découle des considérants qui précèdent que le recours est rejeté. Le permis de construire délivré le 27 janvier 2020 par l'autorité intimée est confirmé. En tant que de besoin, la décision de levée d'oppositions rendue à la même date est également confirmée. Les recourants succombant, les frais de justice seront mis à leur charge (art. 49 al. 1 LPA-VD). Les constructeurs et la municipalité, qui ont procédé par l'intermédiaire de mandataires professionnels, ont droit à des dépens à la charge des recourants (art. 55 LPA-VD et art. 10 et 11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