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AC.2020.0040 vom 29. September 2020</w:t>
      </w:r>
    </w:p>
    <w:p>
      <w:r>
        <w:t>VD Tribunal cantonal, 2020-09-29, FR</w:t>
      </w:r>
    </w:p>
    <w:p>
      <w:r>
        <w:rPr>
          <w:b/>
        </w:rPr>
        <w:t xml:space="preserve">Quelle: </w:t>
      </w:r>
      <w:r>
        <w:t>https://mcp.opencaselaw.ch/entscheid/vd_omni_AC.2020.0040</w:t>
      </w:r>
    </w:p>
    <w:p>
      <w:r>
        <w:t>FR: VD_OMNI AC.2020.0040 du 29 septembre 2020</w:t>
      </w:r>
    </w:p>
    <w:p>
      <w:r>
        <w:t>IT: VD_OMNI AC.2020.0040 del 29 settembre 2020</w:t>
      </w:r>
    </w:p>
    <w:p>
      <w:pPr>
        <w:pStyle w:val="Heading2"/>
      </w:pPr>
      <w:r>
        <w:t>Regeste</w:t>
      </w:r>
    </w:p>
    <w:p>
      <w:r>
        <w:t>A.________ /Direction générale du territoire et du logement, Municipalité de L'Abbaye | Demande de conciliation de la part du recourant. Rejet de la demande d'une part au motif que l’affaire ne semble pas se prêter à une conciliation par sa nature et, d'autre part, que l’autorité intimée s’est déjà montrée conciliante dans les termes de sa décision. Rejet de la demande de révision par arrêt GE.2020.0211 du 16.03.21.</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BLV 173.36], applicable par renvoi de l'art. 99 LPA-VD), de sorte qu'il y a lieu d'entrer en matière sur le fond, sous réserve des précisions formulées au considérant 3.</w:t>
      </w:r>
    </w:p>
    <w:p>
      <w:r>
        <w:rPr>
          <w:b/>
        </w:rPr>
        <w:t>E. 2</w:t>
      </w:r>
    </w:p>
    <w:p>
      <w:r>
        <w:t>a) Selon l'art. 22 al. 1 de la loi fédérale du 22 juin 1979 sur l'aménagement du territoire (LAT; RS 700), aucune construction ou installation ne peut être créée ou transformée sans autorisation de l’autorité compétente. L'art. 103 al. 1 LATC prévoit pour sa part qu'aucun travail de construction ou de démolition en surface ou en sous-sol, modifiant de façon sensible la configuration, l'apparence ou l'affectation d'un terrain ou d'un bâtiment, ne peut être exécuté avant d'avoir été autorisé. Aux termes de l'art. 25 al. 2 LAT, pour tous les projets de construction situés hors de la zone à bâtir, l'autorité cantonale compétente décide si ceux-ci sont conformes à l'affectation de la zone ou si une dérogation peut être accordée (cf. également l'art. 81 al. 1 LATC). Dans ce cadre, l'art. 120 al. 1 let. a LATC prévoit que les constructions hors des zones à bâtir ne peuvent être construites, reconstruites, agrandies, transformées ou modifiées dans leur destination, sans autorisation spéciale; l'autorité compétente est le département cantonal (cf. art. 121 let. a LATC), respectivement la DGTL. La municipalité, et à son défaut le département compétent, est en droit de faire supprimer, aux frais des propriétaires, tous travaux qui ne sont pas conformes aux prescriptions légales et réglementaires (cf. art. 105 al. 1 et 130 al. 2 LATC). L'autorité renonce cependant à une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p. 35; arrêt TF 1C_61/2018 du 13 août 2018 consid. 3.1). Il revient ainsi à l'autorité concernée d'examiner la possibilité d'autoriser a posteriori les travaux effectués, préalablement à tout ordre de démolition. En effet, la seule violation des dispositions de forme relatives à la procédure d'autorisation de construire est en principe insuffisante pour justifier l'ordre de démolition d'un ouvrage non autorisé, si ledit ouvrage est conforme aux prescriptions matérielles applicables (arrêts AC.2019.0077 du 9 décembre 2019 consid. 2c, AC.2017.0373 du 18 juin 2018 consid. 2). Si l'autorité parvient à la conclusion que les travaux réalisés sans autorisation sont illicites, elle procédera à l'appréciation de la situation en tenant compte des principes de la proportionnalité et de la bonne foi. Selon la jurisprudence,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Message du Conseil fédéral du 20 janvier 2010 relatif à une révision partielle de la LAT, FF 2010 964 ch. 1.2.1 et 973 ch. 2.1; arrêts TF 1C_162/2019 du 25 novembre 2019 consid. 3.2, 1C_176/2016 du 10 mai 2017 consid. 7.1 et les références citées; cf. également art. 14 al. 2, 16 al. 1, 22 al. 2 let. a et 24 ss LAT). Cette séparation doit par conséquent, en dehors des exceptions prévues par la loi, demeurer d'application stricte ( ATF 132 II 21 consid. 6.4 p. 40; arrêt TF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(cf. ATF 132 II 21 consid. 6.4 p. 40, 111 Ib 213 consid. 6b p. 225; arrêt TF 1A.301/2000 du 28 mai 2001 consid. 6c in ZBl 2002 p. 364) ainsi que le respect du principe de l'égalité devant la loi (arrêt TF 1C_276/2016 du 2 juin 2017 consid. 3.3). C'est pourquoi, en règle générale, les constructions érigées sans droit en zone agricole doivent être supprimées, à moins que – à titre exceptionnel – l'écart constaté par rapport à ce qu'admet le droit se révèle mineur et qu'une remise en état ne soit pas dans l'intérêt public. La jurisprudence réserve encore les situations dans lesquelles le bénéficiaire de l'autorisation de construire frappée de nullité pouvait de bonne foi se croire autorisé à construire ( ATF 136 II 359 consid.</w:t>
      </w:r>
    </w:p>
    <w:p>
      <w:r>
        <w:rPr>
          <w:b/>
        </w:rPr>
        <w:t>E. 6</w:t>
      </w:r>
    </w:p>
    <w:p>
      <w:r>
        <w:t>Au vu de ce qui précède, le recours, mal fondé, doit être rejeté dans la mesure de sa recevabilité. La décision du 16 janvier 2020 est confirmée, à charge pour l’autorité intimée de fixer un nouveau délai d’exécution. Les frais de justice doivent être mis à la charge du recourant, qui succombe (art. 49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