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AC.2019.0384 vom 2. Dezember 2020</w:t>
      </w:r>
    </w:p>
    <w:p>
      <w:r>
        <w:t>VD Tribunal cantonal, 2020-12-02, FR</w:t>
      </w:r>
    </w:p>
    <w:p>
      <w:r>
        <w:rPr>
          <w:b/>
        </w:rPr>
        <w:t xml:space="preserve">Quelle: </w:t>
      </w:r>
      <w:r>
        <w:t>https://mcp.opencaselaw.ch/entscheid/vd_omni_AC.2019.0384</w:t>
      </w:r>
    </w:p>
    <w:p>
      <w:r>
        <w:t>FR: VD_OMNI AC.2019.0384 du 2 décembre 2020</w:t>
      </w:r>
    </w:p>
    <w:p>
      <w:r>
        <w:t>IT: VD_OMNI AC.2019.0384 del 2 dicembre 2020</w:t>
      </w:r>
    </w:p>
    <w:p>
      <w:pPr>
        <w:pStyle w:val="Heading2"/>
      </w:pPr>
      <w:r>
        <w:t>Regeste</w:t>
      </w:r>
    </w:p>
    <w:p>
      <w:r>
        <w:t>A.________, B.________, C.________, D.________, Municipalité du Chenit/Département du territoire et de l’environnement (DTE) | Admission recours contre une zone réservée communale portant sur une partie d'une parcelle (surface de 1'794 m2). Secteur correspondant à une brèche dans la continuité du tissu bâti qu'il serait urbanistiquement cohérent de combler par une construction, sans conséquence négative sur le paysage et sur le site marécageux d'importance nationale sis à proximité. Une construction à cet endroit irait dans le sens des buts de l'aménagement du territoire consistant à orienter le développement de l'urbanisation vers l'intérieur du milieu bâti et à créer un milieu bâti compact. Parcelle située à proximité des principaux éléments d'équipement. Constat que le secteur litigieux se trouve dans un territoire largement bâti et non pas dans un secteur accueillant des constructions dispersées et que sa surface est inférieure à 2'500 m2. Comparaison avec une parcelle comparable qui n'a pas fait l'objet d'une zone réservée cantonale. Pour ces différents motifs, constat que la possibilité d'un déclassement ne peut pas raisonnablement entrer en question, quand bien même le secteur jouxte la zone agricole.</w:t>
      </w:r>
    </w:p>
    <w:p>
      <w:pPr>
        <w:pStyle w:val="Heading2"/>
      </w:pPr>
      <w:r>
        <w:t>Erwägungen</w:t>
      </w:r>
    </w:p>
    <w:p>
      <w:r>
        <w:rPr>
          <w:b/>
        </w:rPr>
        <w:t>E. 1</w:t>
      </w:r>
    </w:p>
    <w:p>
      <w:r>
        <w:t>Est litigieuse l'inclusion de la parcelle n° 1892 de la Commune du Chenit dans une zone réservée mise en place par le département (zone réservée cantonale) en relation avec la mise en conformité du plan d'affectation communal aux exigences découlant de la LAT (plus précisément des nouvelles dispositions entrée en vigueur le 1 er mai 2014) et du PDCn.</w:t>
      </w:r>
    </w:p>
    <w:p>
      <w:r>
        <w:rPr>
          <w:b/>
        </w:rPr>
        <w:t>E. 2</w:t>
      </w:r>
    </w:p>
    <w:p>
      <w:r>
        <w:t>Les zones à bâtir surdimensionnées doivent être réduites.</w:t>
      </w:r>
    </w:p>
    <w:p>
      <w:r>
        <w:rPr>
          <w:b/>
        </w:rPr>
        <w:t>E. 3</w:t>
      </w:r>
    </w:p>
    <w:p>
      <w:r>
        <w:t>Il n'est pas contesté que les zones à bâtir pour l'habitation et mixtes de la commune du Chenit sont surdimensionnées, en tous les cas en dehors du périmètre de centre et qu'elles doivent en conséquence être réduites. Compte tenu du surdimensionnement de la zone à bâtir communale, la création d'une zone réservée est, sur le principe, justifiée, afin de ne pas rendre plus difficiles, voire impossibles, de futurs déclassements ou réaffectations et de garantir le redimensionnement de la zone à bâtir dans le cadre de la révision du PGA. A priori, dès lors que la parcelle n° 1892 est située en dehors du périmètre de centre et n'est pas bâtie son inclusion dans une zone réservée se justifie, notamment pour respecter le principe d'égalité de traitement par rapport aux parcelles intégrées dans la zone réservée communale, ceci à moins qu'il apparaisse d'emblée que cette parcelle ne pourra pas être concernée par le remaniement de la zone à bâtir (cf. TF 1C_267/2019 du</w:t>
      </w:r>
    </w:p>
    <w:p>
      <w:r>
        <w:rPr>
          <w:b/>
        </w:rPr>
        <w:t>E. 5</w:t>
      </w:r>
    </w:p>
    <w:p>
      <w:r>
        <w:t>Les considérants qui précèdent conduisent à l'admission des recours et à l'annulation des décisions attaquées. Il n'y a pas lieu de percevoir des frais de justice (art. 49 al. 1 et 52 al. 1 LPA-VD). Les recourants et la commune, qui obtiennent gain de cause avec le concours d'un avocat, ont droit à une indemnité à titre de dépens, à charge du DIT.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