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AC.2019.0358 vom 17. März 2021</w:t>
      </w:r>
    </w:p>
    <w:p>
      <w:r>
        <w:t>VD Tribunal cantonal, 2021-03-17, FR</w:t>
      </w:r>
    </w:p>
    <w:p>
      <w:r>
        <w:rPr>
          <w:b/>
        </w:rPr>
        <w:t xml:space="preserve">Quelle: </w:t>
      </w:r>
      <w:r>
        <w:t>https://mcp.opencaselaw.ch/entscheid/vd_omni_AC.2019.0358</w:t>
      </w:r>
    </w:p>
    <w:p>
      <w:r>
        <w:t>FR: VD_OMNI AC.2019.0358 du 17 mars 2021</w:t>
      </w:r>
    </w:p>
    <w:p>
      <w:r>
        <w:t>IT: VD_OMNI AC.2019.0358 del 17 marzo 2021</w:t>
      </w:r>
    </w:p>
    <w:p>
      <w:pPr>
        <w:pStyle w:val="Heading2"/>
      </w:pPr>
      <w:r>
        <w:t>Regeste</w:t>
      </w:r>
    </w:p>
    <w:p>
      <w:r>
        <w:t>A.________, B.________/Municipalité de Tannay, C.________, D.________ SA | Recours contre l'octroi d'un permis de construire trois villas contiguës par les garages. L'appréciation de la municipalité, selon laquelle le projet ne serait pas susceptible de compromettre la future planification en cours d'élaboration, n'est pas critiquable (consid. 2a). Le projet est conforme aux règles communales relatives à la surface de parcelle et aux distances (les villas projetées reliées par les garage étant traitées comme une seule construction par le règlement), ainsi qu'à la clause d'esthétique (consid. 4 et 5). Compte tenu notamment de l'absence de places de stationnement sur la voie publique à proximité de la parcelle concernée et du fait qu'une partie des places extérieures est prévue devant les portes d'entrée des garages (relativisant la possibilité d'utiliser ces places de manière permanente et autonome), la municipalité n'a pas abusé de son large pouvoir d'appréciation en autorisant les douze places projetées (consid. 6). Accès suffisant (consid. 7). Contenu du dossier d'enquête publique suffisant (consid. 9). Grief relatif à la violation des normes de protection incendie rejeté (consid. 8). Recours rejeté.</w:t>
      </w:r>
    </w:p>
    <w:p>
      <w:pPr>
        <w:pStyle w:val="Heading2"/>
      </w:pPr>
      <w:r>
        <w:t>Erwägungen</w:t>
      </w:r>
    </w:p>
    <w:p>
      <w:r>
        <w:rPr>
          <w:b/>
        </w:rPr>
        <w:t>E. 1</w:t>
      </w:r>
    </w:p>
    <w:p>
      <w:r>
        <w:t>Déposé en temps utile par des voisins ayant participé à la procédure devant l'autorité précédente et faisant valoir un intérêt digne de protection, le recours satisfait en outre aux conditions formelles posées par la loi vaudoise du 28 octobre 2008 sur la procédure administrative (LPA-VD; BLV 173.36), conformément aux art. 75, 79, 92, 95 et 99 de cette loi. Il convient dès lors d'entrer en matière sur le fond.</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Les recourants invoquent ensuite la violation de plusieurs dispositions du RPGA. Il convient ainsi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Dans un arrêt relativement récent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C'est à la lumière de ces considérations que le tribunal examinera les griefs soulevés par les recourants, en tant qu'ils ont trait à l'application des règlements et plans communaux.</w:t>
      </w:r>
    </w:p>
    <w:p>
      <w:r>
        <w:rPr>
          <w:b/>
        </w:rPr>
        <w:t>E. 4</w:t>
      </w:r>
    </w:p>
    <w:p>
      <w:r>
        <w:t>Le projet de construction litigieux serait contraire aux art. 23 et 24 RPGA. a) Les art. 21 à 24 RPGA, applicables à la zone de villas A dans laquelle est prévu le projet, ont la teneur suivante: " Art. 21            Destination Cette zone est destinée à l’habitation. Elle est réservée à la construction de villas comportant au plus 3 logements, qu’ils soient superposés ou contigus. […] Art. 22             Ordre des constructions L'ordre non contigu est obligatoire. Les habitations individuelles contiguës par le garage ou jumelées sont autorisées. Art. 23             Distance entre façades et limite de propriété La distance entre façades et limites de propriété ou du domaine public, à défaut de plan fixant la limite de constructions, est de -</w:t>
      </w:r>
    </w:p>
    <w:p>
      <w:r>
        <w:rPr>
          <w:b/>
        </w:rPr>
        <w:t>E. 5</w:t>
      </w:r>
    </w:p>
    <w:p>
      <w:r>
        <w:t>m si la plus grande dimension en plan du bâtiment est égale ou inférieure à 20 m -</w:t>
      </w:r>
    </w:p>
    <w:p>
      <w:r>
        <w:rPr>
          <w:b/>
        </w:rPr>
        <w:t>E. 8</w:t>
      </w:r>
    </w:p>
    <w:p>
      <w:r>
        <w:t>Les recourants se plaignent du non-respect des normes de protection incendie; ils s'en prennent à la proximité entre leur propre garage et le garage prévu dans la partie nord-ouest de la future parcelle n° 838, ainsi qu'à la proximité entre les trois villas projetées. a) aa) Selon l’art. 6 de la loi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Le Conseil d'Etat a fait usage de cette compétence en adoptant le règlement du 30 janvier 2019 concernant les prescriptions sur la prévention des incendies (RPPI; BLV 963.11.2), qui énumère les normes techniques applicables dans le canton de Vaud à titre de mesures de prévention contre l’incendie (art. 1 RPPI). Il en va ainsi de la norme de protection incendie de l’Association des établissements cantonaux d’assurance incendie (AEAI) du 1er janvier 2015, numérotée "1-15 fr" (ci-après: la norme) et de ses directives d’application (art. 1 al. 1 let. a et b RPPI), parmi lesquelles figure la directive de protection incendie "Distances de sécurité incendie, systèmes porteurs et compartiments coupe-feu" du 1er janvier 2017, numérotée " 15-15fr " (art. 1 let. b ch. 6 RPPI; ci-après: la directive). bb) Selon l'art. 1er de la norme, les prescriptions de protection incendie visent à protéger les personnes, les animaux et les biens contre les dangers et les effets des incendies et des explosions (al. 1). Elles fixent les obligations juridiques nécessaires pour atteindre ce but (al. 2). Aux termes de l’art. 2 de la norme, lesdites prescriptions s’appliquent aux bâtiments et autres ouvrages à construire ainsi que, par analogie, aux constructions mobilières (al. 1). Conformément à l’art. 28 de la norme, sont considérés comme distances de sécurité incendie entre les bâtiments et les autres ouvrages les distances minimales requises pour garantir une protection incendie suffisante. Les distances de sécurité doivent être fixées de manière à éviter la mise en danger réciproque des bâtiments et autres ouvrages par propagation d’un incendie. L’art. 29 de la norme dispose que le type de construction, la situation, l’étendue et l’affectation doivent être pris en compte. L’art. 30 de la norme précise que, lorsque les distances sont insuffisantes du point de vue de la protection incendie, il faut prendre des mesures pour empêcher la propagation d’un incendie. Les dispositions contenues dans la norme sont précisées dans la directive. Aux termes de son chiffre 1, la directive fixe les distances de sécurité incendie entre les bâtiments et autres ouvrages et définit en outre les exigences imposées aux systèmes porteurs, de même qu’aux compartiments coupe-feu et aux éléments de construction qui les composent. Le chiffre 2.3.1 de la directive, portant sur les exigences spécifiques en matière de distances de sécurité pour les bâtiments annexes, prévoit qu'une distance de 4,00 m doit être respectée entre les bâtiments annexes d'une même propriété et envers les bâtiments et autres ouvrages des propriétés voisines (al. 2). La directive relative aux termes et définitions du 1er janvier 2019 (numérotée "10-15 fr", également applicable dans le canton de Vaud conformément à l’art. 1 al. 1 let. b ch. 1 RPPI; ci-après: la directive relative aux termes et définitions), définit (sous l'intitulé "Géométrie du bâtiment") la notion de bâtiments annexes comme suit: "Bâtiments annexes : constructions d'un seul niveau et d'une surface au sol de 150 m2 au maximum, qui ne sont pas destinées à recevoir des personnes de façon durable, ne sont équipées d'aucun foyer ouvert et où l'on n'entrepose pas de matières dangereuses en quantité significative (par exemple, abris pour véhicules, garages, cabanons de jardin, abris pour petits animaux et petits entrepôts)." Le chiffre 2.4 de la directive, relatif aux mesures compensatoires en cas de distances de sécurité incendie insuffisantes, dispose que dans les cas où les distances de sécurité incendie définies sous chiffre 2.2 ou 2.3 ne peuvent être respectées, les structures de parois extérieures seront soumises à des exigences accrues sur le plan de la combustibilité et de la résistance au feu. A cet égard, l'annexe à la directive (sous "ad chiffre 2.4 Mesures compensatoires en cas de distances de sécurité incendie insuffisantes", p. 24 de la directive) prévoit ce qui suit: "Zones dans lesquelles des mesures compensatoires doivent être prises: Les distances de sécurité incendie doivent être mesurées en projection. Lorsque la distance entre deux parois extérieures est inférieure à 2 m, la longueur de paroi à protéger doit être prolongée de 1 m. Les mesures compensatoires de protection peuvent être prises pour une seule paroi ou pour les deux (voir variantes présentées dans les tableaux ci-après)." L’annexe à la directive présente ainsi un tableau répertoriant différentes variantes de mesures compensatoires, illustrées par des schémas (p. 25 de la directive). Parmi celles-ci, figure la variante F convenant comme variante de mesures compensatoires d’un côté pour une distance entre bâtiments inférieure à 2,00 m. Le schéma y relatif se présente comme suit: Par ailleurs, la directive fixe, sous chiffre 3, des exigences relatives aux systèmes porteurs et compartiments coupe-feu. Selon le chiffre 3.3.1 (al. 1), les résistances au feu requises des parois et planchers formant compartiment coupe-feu sont indiqués dans les tableaux du chiffre 3.7.1. Selon le tableau 1 (figurant sous chiffre 3.7.1), concernant les bâtiments de faible hauteur (jusqu'à une hauteur totale de 11 m), des parois formant compartiment coupe-feu de type EI-30 sont exigées pour les bâtiments d'habitation abritant plusieurs logements. En outre, pour ce qui est des habitations, le chiffre 3.7.3 al. 1 de la directive prévoit que le système porteur, les parois et les plafonds des maisons individuelles (y compris les sous-sols et le logement intégré) ne sont soumis à aucune exigence sur le plan de la résistance au feu. L'al. 2 précise que les appartements doivent former des compartiments coupe-feu distincts. D'après la directive relative aux termes et définitions, la notion de bâtiment d’habitation se définit comme suit: "maisons individuelles, maisons abritant plusieurs logements, logements spécialement conçus pour les personnes âgées, immeubles résidentiels, etc.". cc) Selon la jurisprudence, l’examen du respect de la norme incendie AEAI et de ses directives d’application ne saurait dépendre de la qualification du projet sous l’angle du droit des constructions, s’agissant en particulier de la question de savoir si, sous cet angle, le projet est réputé constitué d’un seul ou de plusieurs bâtiments; à l’évidence en effet, les critères définis par la jurisprudence dans ce cadre - en lien notamment avec la destination des constructions, leur conception architecturale ou encore l’impression donnée à un observateur - ne sont pas pertinents s’agissant d’apprécier la situation sous l’angle de la protection contre les incendies. Bien plutôt, il s’impose de constater que la norme incendie AEAI (complétée par ses directives d’application) prévoit ses propres définitions, critères et prescriptions, dont le respect doit être examiné de façon indépendante (CDAP AC.2016.0095 du 29 novembre 2016 consid. 1a/bb). b) En substance, les recourants soutiennent que la distance entre le garage projeté dans la partie nord-ouest de la future parcelle n° 838 (annexe à la villa A) et leur propre garage (sis sur la parcelle n° 817) serait insuffisante. Il en irait de même de la distance séparant les trois villas projetées. En effet, d'après les recourants, la distance entre deux façades ne pourrait jamais être inférieure à quatre mètres, quels que soient le type de matériau utilisé et les caractéristiques des bâtiments en cause. Sur ce point, les recourants indiquent ignorer sur quelle base l’application des prescriptions relatives aux distances (prévues au chiffre 2.2 de la directive) pourrait être exclue. Même en admettant que des mesures compensatoires puissent permettre de déroger aux exigences générales en matière de distances de sécurité incendie, force serait de constater que de telles mesures n’auraient été prévues que pour le garage (annexe à la villa A), à l'exclusion des villas qui constitueraient pourtant trois bâtiments principaux et distincts. c) aa) En l'espèce, le jeu de plans mis à l'enquête publique et signé par l'architecte du projet inclut notamment des "plans de protection incendie" (plans n° 12). Toutefois, à la suite de la délivrance du permis de construire (daté du 3 octobre 2019) et du dépôt du recours, la constructrice a produit un concept de protection incendie établi par la société E.________, constitué d'un rapport et d'une série de plans datés du 26 mars 2020 (pièces 100 et 101), ainsi qu'une copie du "formulaire 43, mesures de prévention incendie" qu’elle indique avoir adressé à l’ECA (pièce 104). Sur la base de ces documents, l'autorité intimée a délivré un nouveau permis de construire daté du 8 mai 2020 (annulant et remplaçant celui du 3 octobre 2019), soumis au respect des plans établis par la société E.________ et des prescriptions de l’AEAI en matière de prévention des incendies. Ce nouveau permis de construire - complété sur la question de la prévention incendie uniquement - est pour le surplus identique au premier permis délivré. bb) Le rapport précité rappelle, à titre préalable, que le projet litigieux concerne la construction d’un ensemble d’habitations en copropriété et de deux petits bâtiments annexes sur la parcelle n° 838. Il précise en outre que les logements projetés, intitulés villas sur les plans d’architecte, doivent être considérés, au sens de l’AEAI, comme des appartements en triplex. Dans son chapitre relatif aux distances de sécurité, le rapport retient que " le projet concerne un ensemble d’habitation en copropriété (immeuble en PPE) sur la même parcelle. Dès lors, il n’y a pas d’exigences en termes de distances de sécurité entre les logements en copropriété ", tout en relevant " qu'une paroi formant un compartiment coupe-feu séparera chaque habitation au même titre que des appartements dans un immeuble d’habitation ". Dans le même chapitre, le rapport expose que " les distances de sécurité évoquées dans la DPI 15-15 sont à appliquer dans la mesure du possible. Si les bâtiments sont distants de moins de 4 m, des mesures compensatoires doivent être définies sur les façades d’un ou des bâtiments ". Le rapport retient par ailleurs que " le bâtiment annexe A sera distant de 1,2 m d’un bâtiment situé sur la parcelle voisine au lieu de 4 m. De ce fait, les mesures compensatoires suivantes (selon additif du chiffre 2.4 / variante F de la DPI 15-15) seront appliquées au garage A: mur EI-RF1, avant-toit encapsulé EI60-RF1 ". cc) Il ressort ainsi du rapport que les villas projetées - formant un ensemble d'habitations en PPE sises sur une même parcelle, à considérer comme des appartements en triplex - ne seraient pas soumises à des exigences de distances entre elles et que, dans cette mesure, il ne serait pas nécessaire de prévoir, en ce qui les concerne, de mesures compensatoires. Conformément au chiffre 3.7.3 al. 2 de la directive, les villas projetées devraient néanmoins former des compartiments coupe-feu distincts; tel est bien le cas selon les plans produits (plans "Pl. 03", "Pl. 04" et "Pl. 05"). Les représentants de la société E.________ ont d'ailleurs confirmé en audience que le concept de protection incendie était conforme au chiffre 3.7.3 de la directive à cet égard et qu’il n'était pas nécessaire de prévoir d’autres mesures que celles indiquées dans le rapport. L'ECA, pour sa part, a confirmé que les règles de distance ne s'appliquaient pas entre les villas projetées, en répondant comme suit à la question qui lui était posée par le tribunal: " 2. S'il est exact que les règles de distance ne s'appliquent pas entre les villas projetées et, si tel est le cas, sur la base de quel fondement ou raisonnement? Oui c'est exact, comme cela est précisé dans le concept du bureau E.________, au chapitre 8 distances de sécurité page 12, et en référence au chiffre 3 de la Norme de protection incendie AEAI 1-15, art. 28, 29 et 30. Il est donc exact que les règles de distance ne s'appliquent pas entre les appartements ou logements projetés, puisque le maître d'ouvrage a choisi de les jumeler, comme il aurait pu en faire de même verticalement, en superposant les appartements d'un petit immeuble en PPE. Il n'est pas interdit de jumeler des villas, comme il n'est pas interdit de superposer des appartements. Lorsque des bâtiments voisins ne sont pas contigus, les prescriptions de protection incendie imposent des distances de sécurité. Lorsque celles-ci ne peuvent être appliquées, on impose une résistance au feu des parois séparatives. Dans ce cas, il prévoit donc à juste titre une mesure de protection incendie de type constructif, en imposant une exigence en matière de résistance au feu aux parois séparatives entre logements." L'autorité spécialisée a en outre confirmé que les parois coupe-feu prévues entre les villas étaient suffisantes. A cet égard, elle a en effet exposé ce qui suit: "Oui, cela est en adéquation avec ce que prévoit la directive AEAI 15-15, chiffre 3.3.1 - Résistance au feu et chiffre 3.7.1 - exigences spécifiques concernant des affectations et des types de bâtiments particuliers. C'est-à-dire une paroi séparative présentant une résistance au feu au minimum EI 30 ( E pour l'étanchéité aux fumées, I pour l'isolation aux hautes températures, cela pendant une durée d'un minimum de 30 minutes, comme le prévoit le tableau 1 [...] ." En conséquence, on retiendra que le projet respecte, s'agissant de ces aspects, les normes de protection incendie. dd) Pour ce qui est du garage projeté dans la partie nord-ouest de la future parcelle n° 838, l'ECA a confirmé qu’il doit être considéré comme un bâtiment annexe au sens de l'AEAI et qu’il est, à ce titre, soumis à des exigences de distance par rapport au garage des recourants, sis sur la parcelle voisine. Conformément à l'al. 2 du chiffre 2.3.1 de la directive, c'est une distance minimale de 4,00 m qui devrait en principe séparer ces deux bâtiments. Il ressort toutefois du plan de situation que le garage projeté est implanté à 0,60 m de la limite de propriété de la parcelle n° 817 et que le garage des recourants est également implanté en limite de propriété, de sorte que la distance prescrite n'est pas respectée. Dans ces circonstances, en application du chiffre 2.4 de la directive, des mesures compensatoires doivent être prévues. Tel est bien le cas en l'espèce; le rapport établi par la société E.________ se réfère, à cet égard, expressément à la variante F proposée dans l’annexe à la directive et prévoit des mesures compensatoires sous la forme d'un mur EI60-RF1, d'un avant-toit encapsulé EI60-RF1, ainsi que de la prolongation sur 1,00 m de la paroi protégée, comme cela ressort du plan " PI 01 ". L'ECA a, pour sa part, indiqué qu'il considérait la mesure compensatoire prévue comme suffisante. On retiendra ainsi, s'agissant du garage projeté, que les mesures compensatoires prévues (variante F) sont conformes à la directive et à son annexe; il s'ensuit que la construction pourra être réalisée dans le respect des normes de protection incendie, étant précisé qu'il appartiendra à l’autorité intimée de vérifier, le moment venu, si les travaux respectent le permis délivré et les conditions impératives dont il est assorti. ee) Partant, les critiques des recourants relatives au non-respect des normes de protection incendie tombent à faux et doivent être écartées.</w:t>
      </w:r>
    </w:p>
    <w:p>
      <w:r>
        <w:rPr>
          <w:b/>
        </w:rPr>
        <w:t>E. 9</w:t>
      </w:r>
    </w:p>
    <w:p>
      <w:r>
        <w:t>Les recourants estiment que le dossier d'enquête publique ne remplirait pas les exigences de l'art. 93 al. 1 let. e RPGA, en ce sens qu'il ne comprendrait pas d'état descriptif des matériaux extérieurs et de leurs teintes, notamment des toitures et des façades. Dès lors que l'art. 93 RPGA aurait pour but de permettre de juger des caractéristiques et de l'intégration du projet dans le bâti existant et de se déterminer en toute connaissance de cause sur l'usage ou non du droit d'opposition, le non-respect de cette disposition conduirait à une violation du droit d'être entendu des voisins. a) aa) Selon l'art. 108 al. 2 LATC, le règlement cantonal et les règlements communaux déterminent, pour les divers modes de construction et catégories de travaux, les plans et les pièces à produire avec la demande de permis de construire. L'art. 109 al. 1 LATC prévoit que la demande est mise à l’enquête publique par la municipalité pendant trente jours, ce qui permet à tous les intéressés de prendre connaissance du dossier élaboré par le requérant ou constructeur. Le droit de consulter le dossier, composante du droit d’être entendu (art. 29 al. 2 Cst.), est ainsi garanti dans ce cadre (CDAP AC.2018.0416 du 2 septembre 2019 consid. 2a), étant précisé que les intéressés exercent leur droit d’être entendus en formant opposition durant le délai d’enquête, s'ils l'estiment utile (art. 109 al. 4 LATC). L'art. 69 du règlement vaudois du 19 septembre 1986 d'application de la LATC (RLATC; BLV 700.11.1) énumère, quant à lui, les pièces et indications à fournir avec la demande. Aucune des dispositions de la LATC ou du RLATC n'exige toutefois explicitement l'indication, dans le dossier d'enquête, des matériaux et des teintes qui seront utilisés. Le tribunal a néanmoins retenu que le formulaire de demande de permis de construire doit indiquer la tonalité de base de la couleur des façades. Il a précisé que la pratique consistant à présenter des échantillons peu avant l'exécution des travaux de peinture est pour le reste conforme à la réglementation cantonale relative à l’enquête publique, pour autant qu’il s’agisse de couleurs usuelles (CDAP AC.2019.0173 du 28 novembre 2019 consid. 3b et les références citées). La jurisprudence a en outre précisé que le but de l'art. 69 RLATC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(CDAP AC.2018.0260 du 6 mai 2019 consid. 3a/bb et les références citées). bb) Sur le plan communal, l'art. 93 al. 1 let. e RPGA prévoit que le dossier d'enquête comprend obligatoirement, outre les pièces énumérées par la loi sur l'aménagement du territoire et les constructions et par son règlement d'application, un état descriptif des matériaux extérieurs et de leurs teintes, notamment des toitures, façades, balcons, volets, clôtures, éventuellement un échantillonnage des couleurs, etc. L'al. 3 précise que la municipalité peut, lorsque la nature du projet le justifie, dispenser le constructeur de la présentation de certaines pièces énumérées à l'al. 1 ou exiger des pièces ou rapports complémentaires. b) aa) Aux termes de la décision entreprise, l'autorité intimée reconnaît expressément qu'" historiquement, la municipalité n'exige pas le descriptif des matériaux extérieurs et leurs teintes lors de la demande de permis de construire car souvent ces éléments ne sont pas encore définis à ce stade du projet ou sont amenés à évoluer pendant la construction ". L'autorité intimée précise cependant que les échantillons doivent lui être soumis pour approbation et les matériaux ne peuvent être utilisés qu'après délivrance de l'autorisation. Dans sa réponse au recours, l'autorité intimée fait en outre remarquer qu'il ressort du chiffre 39 du formulaire de demande de permis de construire que les façades sont prévues en crépi clair et les toits recouverts de tuiles plates. Selon la constructrice, le choix des teintes des crépis et des tuiles (qui se serait porté sur un crépi blanc cassé, ainsi que trois tuiles de couleur ocre) aurait été soumis à l'autorité intimée, qui l'aurait approuvé par courrier électronique du 4 octobre 2019. Ces teintes et matériaux n'auraient rien de criard et seraient en harmonie avec l'environnement construit, étant précisé que les échantillons pourraient être consultés auprès de l'administration communale. bb) En l'espèce, il n'est pas contesté que la demande de permis de construire, telle que mise à l'enquête publique, n'était pas accompagnée d'un état descriptif complet des matériaux extérieurs et de leurs teintes, comme requis par l'art. 93 al. 1 let. e RPGA. Cela étant, comme l’autorité intimée l’a relevé, il ressort du formulaire de demande de permis de construire qu'il est prévu de recouvrir les façades des villas d'un crépi clair et les toits de tuiles plates. Ces éléments - quand bien même limités - doivent être considérés comme conformes aux exigences posées par la jurisprudence s'agissant du contenu du dossier d'enquête, en ce sens qu'ils permettaient à l'ensemble des voisins de se faire une idée suffisamment précise du projet incriminé et de se déterminer sur sa conformité aux règles de police des constructions, de manière à pouvoir former opposition s'ils l'estimaient utile. En tout état, en cours de procédure, la constructrice a apporté des précisions quant aux teintes et matériaux choisis, tout en indiquant que les échantillons correspondants pouvaient être consultés auprès de l'administration communale. Il en découle que l'éventuelle lacune que le dossier d'enquête présentait - initialement - au regard de l'art. 93 al. 1 let. e RPGA, mais qui n'empêchait pas les voisins de se faire une idée suffisamment précise du projet, doit être considérée comme comblée et l'éventuel vice de procédure réparé, les dispositions gouvernant la procédure de mise à l'enquête ne devant pas être appliquées de manière excessivement formaliste, comme on l'a vu ci-avant. En conclusion, on retiendra que le projet est conforme à l'art. 93 al. 1 let. e RPGA et que le droit d'être entendu des voisins (y compris des recourants) a été respecté. Partant, le grief est mal fondé et doit être écarté.</w:t>
      </w:r>
    </w:p>
    <w:p>
      <w:r>
        <w:rPr>
          <w:b/>
        </w:rPr>
        <w:t>E. 10</w:t>
      </w:r>
    </w:p>
    <w:p>
      <w:r>
        <w:t>Enfin, les recourants ont confirmé en audience que le grief relatif à l'abattage des arbres sis sur la parcelle n° 64 (future parcelle n° 838) était retiré, de sorte que le tribunal ne l'examinera pas.</w:t>
      </w:r>
    </w:p>
    <w:p>
      <w:r>
        <w:rPr>
          <w:b/>
        </w:rPr>
        <w:t>E. 11</w:t>
      </w:r>
    </w:p>
    <w:p>
      <w:r>
        <w:t>Il résulte des considérants qui précèdent que le recours doit être rejeté. La décision rendue le 16 octobre 2019 par l’autorité intimée, levant l’opposition formée par les recourants, est confirmée. Le permis de construire délivré le 3 octobre 2019 et complété le 8 mai 2020 est également confirmé. Les recourants succombant, les frais de justice seront mis à leur charge (art. 49 al. 1, 91 et 99 LPA-VD et art. 4 du Tarif des frais judiciaires et des dépens en matière administrative du 28 avril 2015, TFJDA; BLV 173.36.5.1). L'autorité intimée et la constructrice, qui ont procédé par l'intermédiaire de mandataires professionnels, ont droit à des dépens à la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