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AC.2019.0350 vom 18. Februar 2021</w:t>
      </w:r>
    </w:p>
    <w:p>
      <w:r>
        <w:t>VD Tribunal cantonal, 2021-02-18, FR</w:t>
      </w:r>
    </w:p>
    <w:p>
      <w:r>
        <w:rPr>
          <w:b/>
        </w:rPr>
        <w:t xml:space="preserve">Quelle: </w:t>
      </w:r>
      <w:r>
        <w:t>https://mcp.opencaselaw.ch/entscheid/vd_omni_AC.2019.0350</w:t>
      </w:r>
    </w:p>
    <w:p>
      <w:r>
        <w:t>FR: VD_OMNI AC.2019.0350 du 18 février 2021</w:t>
      </w:r>
    </w:p>
    <w:p>
      <w:r>
        <w:t>IT: VD_OMNI AC.2019.0350 del 18 febbraio 2021</w:t>
      </w:r>
    </w:p>
    <w:p>
      <w:pPr>
        <w:pStyle w:val="Heading2"/>
      </w:pPr>
      <w:r>
        <w:t>Regeste</w:t>
      </w:r>
    </w:p>
    <w:p>
      <w:r>
        <w:t>A.________ à CF.________/ Municipalité de Nyon, Division logement, CG.________ | Recours de locataires contre l'autorisation de construire délivrée en vue de la rénovation et de la mise aux normes énergétique de plusieurs bâtiments (grands consommateurs au sens de la LVLEne), ainsi que contre l'autorisation spéciale fixant les modalités du contrôle des loyers après travaux. Supposé avéré, le défaut d'information des locataires avant travaux (art. 6 LPPPL) n'entraînerait pas l'annulation des décisions litigieuses (consid. 3). Les travaux prévus (fermeture et intégration des loggias aux surfaces chauffées; construction de balcons de remplacement) sont autorisables selon la LPPPL (consid. 4). Justifiés par des motifs énergétiques, ils peuvent être rentés à 100% selon la LPPPL, exception faite du remplacement des balcons car il ne s'agit pas de travaux d'assainissement énergétique (consid. 5). Les surfaces supplémentaires peuvent être prises en compte dans le calcul du loyer maximum au m2 selon la méthode de la valeur objective (consid. 6). Le montant supplémentaire renté à 100% au titre de la "valorisation foncière" du fait de l'intégration des loggias n'est en revanche pas admissible (consid. 7). Inteprétation du plan de quartier nécessaire pour déterminer le périmètre d'implantation de l'un des bâtiments, qui confirme l'exactitude du plan de géomètre de 2019 utilisé dans la procédure d'autorisation (consid. 8). Les colonnes de balcons autoportants sont admissibles hors du périmètre d'implantation pour autant qu'ils n'excèdent pas 2 m, de sorte que ceux plus profonds devront être réduits (consid. 9). La vérification du respect des coefficients n'est pas possible sur la base du dossier. La cause étant quoi qu'il en soit renvoyée aux autorités intimées pour nouvelle décision au sens des considérants, il incombera à la municipalité d'y procéder (consid. 10). Une fois fermées, les loggias auront une hauteur réglémentaire (consid. 11). Renvoi du dossier aux autorités intimées pour nouvelles décisions.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émane par ailleurs de locataires qui revêtent la qualité pour recourir à l'encontre des décisions entreprises au sens de l'art. 75 LPA-VD ( cf . art. 23 al. 1 LPPPL; ég. arrêt AC.2019.0009 du 31 juillet 2019 consid. 2c et les références citées), ce qui n'est du reste pas contesté. Le pourvoi respecte au surplus les conditions formelles énoncées à l'art. 79 LPA-VD, applicable par renvoi de l'art. 99 LPA-VD, de sorte qu'il y a lieu d'entrer en matière.</w:t>
      </w:r>
    </w:p>
    <w:p>
      <w:r>
        <w:rPr>
          <w:b/>
        </w:rPr>
        <w:t>E. 2</w:t>
      </w:r>
    </w:p>
    <w:p>
      <w:r>
        <w:t>À titre liminaire, le tribunal constate qu'il ressort du dossier que les logements en cause sont situés dans le district de Nyon où sévit la pénurie, étant entendu que le taux de logements vacants y est inférieur à 1,5 % depuis plusieurs années. Partant, le présent litige tombe dans le champ d'application territorial de la LPPPL ( cf . art. 2 LPPPL), ce qui est admis par toutes les parties</w:t>
      </w:r>
    </w:p>
    <w:p>
      <w:r>
        <w:rPr>
          <w:b/>
        </w:rPr>
        <w:t>E. 2.4</w:t>
      </w:r>
    </w:p>
    <w:p>
      <w:r>
        <w:t>et TF 1P.543/2003 consid. 2.3). d) En l'espèce, la modification du PQ-S, entré en vigueur en 1982 et toujours applicable, ne figure effectivement pas de périmètre d'implantation pour le bâtiment A, contrairement au bâtiment voisin E également soumis au PQ-S. On ne saurait toutefois en conclure, avec les recourants, que le périmètre d'implantation du bâtiment A correspondrait, dans ces conditions, à l'implantation dudit bâtiment. En effet, si l'autorité planificatrice avait entendu procéder de la sorte, elle aurait figuré le pourtour du bâtiment A au moyen du traitillé utilisé, selon la légende du PQ-S, pour marquer les périmètres d'implantation. Or, le plan ne figure tout simplement aucun périmètre d'implantation en relation avec ce bâtiment, ce qui n'est guère compatible avec l'objectif de ce plan qui était de fixer et déterminer les dispositions applicables aux constructions (art. 1 RPQ-S), dont notamment les périmètres d'implantation (art. 4 RPQ-S). Cette ambiguïté implique de vérifier si l'interprétation du PQ-S à laquelle a procédé la municipalité peut être confirmée. Sur ce point, cette dernière a mentionné, dans sa décision du 30 septembre 2019, que le périmètre d'implantation du bâtiment A n'épouserait pas les contours du bâtiment, mais serait identique à celui prévu pour le bâtiment E. L'absence de périmètre d'implantation sur le PQ-S de 1982 constituerait en définitive une " omission " de l'autorité planificatrice mais ne dénoterait pas une volonté de traiter différemment les bâtiments A et E. En l'absence de tout périmètre d'implantation pour le bâtiment A sur le PQ-S de 1982, une interprétation littérale est d'emblée exclue. Du point de vue historique en revanche, le tribunal constate qu'à l'exception du nombre de niveaux et des matériaux utilisés, les bâtiments A et E sont identiques, en particulier s'agissant de leur emprise au sol, bien qu'ils aient été édifiés au début des années 1970 pour le premier et au milieu des années 1980 pour le second. En d'autres termes, le bâtiment E est une reproduction du bâtiment A une dizaine d'années plus tard. Le PQ-S initial de 1973 figurait par ailleurs un périmètre d'implantation identique pour les bâtiments A et E – non encore bâtis –, soit un périmètre rectangulaire excédant l'emprise au sol de chacun des deux bâtiments projetés. Depuis la modification de 1982, le PQ-S ne mentionne plus que le périmètre d'implantation au sol du bâtiment E. ll est probable que, comme le soutiennent la municipalité et la propriétaire, l'autorité planificatrice ait omis de reporter le périmètre d'implantation y relatif dans la mesure où cette information n'était pas essentielle puisque le bâtiment A avait d'ores et déjà été édifié. Il l'avait d'ailleurs été sous l'empire du PQ-S de 1973, soit au bénéfice du périmètre d'implantation mentionné sur celui-ci et qui excédait l'emprise au sol du bâtiment A. Ce constat plaide pour une omission de l'autorité planificatrice. Au contraire, aucun élément ne permet d'interpréter le silence du plan à cet égard comme une volonté de l'autorité planificatrice de réduire le périmètre d'implantation de 1973 afin qu'il coïncide avec le pourtour du bâtiment existant, thèse défendue par les recourants. Sous l'angle téléologique, le tribunal ne discerne pas, et les recourants ne l'explicitent pas, le but poursuivi ou le sens que pourrait avoir la réduction du périmètre d'implantation initial aux contours du bâtiment une fois celui-ci construit. En revanche, l'absence de volonté que la municipalité prête à l'autorité planificatrice serait tout à fait compatible avec l'omission précitée. Du point de vue systématique enfin, les bâtiments A et E étant largement similaires et leurs périmètres d'implantation étant initialement identiques selon le PQ-S de 1971, on conçoit mal qu'un traitement différencié ait voulu leur être réservé au moment de la modification du PQ-S en 1982 ce qui, une fois encore, plaide pour une omission. Au vu de ces éléments, l'interprétation de l'autorité intimée doit être confirmée et c'est ainsi à bon droit qu'elle a retenu un périmètre d'implantation du bâtiment A délimité conformément au plan de situation du géomètre du 27 juin 2019. Il en résulte que les balcons du bâtiment A s'inscriront bien dans le périmètre d'implantation et non hors de celui-ci, de sorte que le grief tombe à faux. 9. a) Concernant les balcons des bâtiments B et C, les recourants contestent la régularité de trois colonnes de balcons, savoir celles qui s'inscriront dans le prolongement de parties des deux bâtiments qui excèdent déjà le périmètre d'implantation. Il s'agit des balcons situés à l'angle sud-est du bâtiment B, ainsi qu'aux angles nord-est et sud-est du bâtiment C, les autres colonnes de balcons demeurant à l'intérieur des périmètres d'implantation. Le projet conduirait sous cet angle à une aggravation de la non-réglementarité des bâtiments prohibée par l'art. 80 al. 2 LATC. La municipalité a pour sa part considéré que dans la mesure où le pilier (" poteau structurel central qui touchait le sol ") sur lequel reposait chacune des trois colonnes de balcons précitées a été supprimé à sa demande, on ne serait plus en présence de "surfaces constructibles" devant impérativement s'inscrire dans le périmètre d'implantation. Les balcons autoporteurs pourraient dès lors empiéter jusqu'à 2 m dans les espaces réglementaires, en vertu de l'art. 83 du règlement communal sur le plan d'extension et la police des constructions du 24 février 1984 (RPE). Dans ces conditions, le projet serait admissible. b) L'art. 80 LATC dispose ce qui suit: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aa)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(arrêts AC.2019.0118 du 10 novembre 2020 consid. 3a/cc; AC.2018.0079 du 4 septembre 2018 consid 4b et AC.2011.0230 du 4 avril 2012 consid. 1e/aa). Dans un tel cas, les transformations et agrandissements ultérieurs, dont fait notamment partie l'adjonction d'un balcon (arrêt AC.2019.0347 du 16 juin 2020 consid. 2c/aa et AC.2019.0184 du 8 janvier 2020 consid. 3a et les références citées),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bb) Cette disposition n'exclut pas tous les inconvénients que peut entraîner pour le voisinage la transformation ou l'agrandissement d'un bâtiment non réglementaire; il prohibe seulement l'aggravation des inconvénients qui sont en relation avec l'atteinte à la réglementation (arrêt TF 1C_43/2009 du 5 mai 2009 consid. 4; arrêts AC.2019.0118 précité consid. 4b/aa; AC.2016.0289 du 25 septembre 2017 consid. 5a/bb et les références citées). Pour déterminer si l'on se trouve en présence d'une aggravation de l'atteinte au sens de l'art. 80 al. 2 LATC, il convient de rechercher le but que poursuit la norme transgressée (arrêts AC.2020.0162 du 19 novembre 2020 consid. 4b/aa; AC.2013.0211 précité consid. 3b; AC.2009.0269 du 21 mars 2012 consid. 3; AC.2011.0138 du 31 octobre 2011 consid. 2a et les références; Bovay / Didisheim / Sulliger / Thonney, Droit vaudois de la construction, 4 ème éd., Bâle 2010, ch. 6.3 ad art. 80 LATC). Dans ce cadre, le tribunal rappelle que l'objectif d'un périmètre d'évolution est d'imposer un alignement dans le but de ménager des surfaces libres de toute construction pour la préservation d'espaces suffisants, que ce soit entre les bâtiments ou entre eux et le domaine public ou entre les limites de propriété (arrêts 2017.0030 du 13 décembre 2017 consid. 11a et 2016.0013 du 9 octobre 2017 consid. 10a). La création de volumes supplémentaires dans un espace où la construction est proscrite doit en principe être considérée comme une aggravation de l'atteinte à la réglementation au sens de l'art. 80 al. 2 LATC (arrêts AC.2019.0118 précité consid. 3a/cc; AC.2019.0087 du 2 juillet 2020 consid. 2a et AC.2017.0043 du 28 mai 2018 consid. 6b et les références citées). S'agissant des inconvénients dont l'art. 80 al. 2 LATC entend protéger le voisinage, ils se définissent de la même manière que dans le cadre de l'art. 39 RLATC concernant les dépendances: ils doivent dépasser ce qui est supportable sans sacrifice excessif (arrêts précités AC.2020.0162 consid. 4b /aa; AC.2019.0118 consid. 4b/aa et AC.2018.0079 consid. 4b et les références citées ). Enfin, l'art. 80 LATC est exhaustif en ce sens que le droit communal ne peut être ni plus strict, ni plus permissif ( Ibidem ). Il convient ici de rappeler que, à la différence des avant-corps, les balcons typiques ne sont pas comptés dans les calculs des distances (cf. Bovay, Didisheim, Sulliger, Thonney, op. cit., n. 3.1.2.4 ad art. 47 LATC).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(arrêts AC.2018.0324 du 13 juin 2019 consid. 6b/aa; AC.2017.0108 du 13 novembre 2017 consid. 3c). c) En l'espèce, il est exact que les trois parties des bâtiments B et C appelées à recevoir les balcons litigieux sont situées hors du périmètre d'implantation. Dans la mesure où les bâtiments ont été édifiés après l'adoption du PQ-NO qui définit ces périmètres, il semble que ces irrégularités ne soient pas dues à un changement postérieur de la réglementation. Quoi qu'il en soit, à les supposer d'emblée non réglementaires sous cet angle, les bâtiments précités n'en devraient pas moins bénéficier de l'art. 80 al. 2 LATC en application de la jurisprudence précitée ( cf . consid. 9a ci-dessus), dont il convient dès lors d'examiner les conditions d'application puisque, toujours selon la jurisprudence, l'ajout de balcons constitue bien un agrandissement au sens de la disposition. aa) En l'occurrence, il n'apparaît pas que l'adjonction des balcons litigieux entraînera des inconvénients pour le voisinage. Ils seront en effet ajoutés devant les loggias actuelles, elles-mêmes vouées à être fermées, dans le but de maintenir un espace ouvert sur l'extérieur. Ainsi, l'utilisation des balcons substitués aux loggias existantes n'entraînera pas de nuisances supplémentaires qui excèderaient ce qui serait supportable sans sacrifice excessif. Au vrai, les recourants ne le prétendent pas ni ne fournissent d'explications sur ce point. Concernant l'atteinte à la réglementation, les recourants se limitent à affirmer, sous la forme d'une pétition de principe, que les balcons litigieux aggraveraient manifestement l'atteinte, sans égard au but poursuivi par la réglementation en cause, ni à la situation particulière du cas d'espèce. A les suivre, tout ajout d'un élément constructif dans les espaces réglementaires serait toujours interdit puisque cela aggraverait systématiquement l'atteinte, raisonnement qui ne peut naturellement être suivi. Au contraire, il n'est pas insoutenable de retenir, avec la municipalité – dont on rappellera qu'elle dispose d'une liberté d'appréciation particulière lorsqu'elle interprète ses règlements de police des constructions ( cf . en dernier lieu arrêt TF 1C_40/2020 du 11 novembre 2020 consid. 3.1.3.) – et conformément à sa pratique, qu'en l'absence de support au sol (poteaux) sur lesquels les balcons prendraient appui, ils ne doivent pas être comptabilisés comme des "surfaces bâties" et peuvent prendre place dans les espaces réglementaires. Par ailleurs, l'art. 6 RPQ-NO évoqué par les recourants réglemente les " porches d'entrée et certains ouvrages légers tels que pergolas, passages couverts, escaliers et rampes d'accès aux immeubles et aux garages, brise-soleil " et précise, en son al. 2, qu'ils peuvent faire saillie hors des gabarits d'implantation. Cette disposition donne une liste exemplative qui ne mentionne pas les balcons. Cela étant, les balcons du cas d'espèce ne sauraient être assimilés à des ouvrages légers au sens de cette disposition qui ne les concerne donc pas. En revanche, l'art. 2 RPQ-NO renvoie à la législation cantonale et au RPE pour les questions non traitées dans le RPQ-NO, soit en particulier à l'art. 83 RPE appliqué en l'occurrence par la municipalité, qui autorise l'empiètement des balcons dans les espaces réglementaires jusqu'à deux mètres. Dans ces conditions, la municipalité pouvait, en restant dans le cadre de son pouvoir d'appréciation, interpréter ses règlements en ce sens que la problématique des balcons n'était pas traitée dans le RPQ-NO, de sorte que l'art. 83 RPE était applicable par renvoi. Il résulte des considérants qui précèdent, que dans la mesure où le RPE l'autorise de manière générale à l'art. 83 RPE, la construction de balcons dans les espaces réglementaires n'est pas de nature à compromettre les objectifs poursuivis par les distances aux limites ou entre bâtiments ou, comme en l'espèce, par un périmètre d'implantation, pour autant qu'ils n'excèdent pas deux mètres. Sur le principe, l'adjonction des trois balcons litigieux n'est ainsi pas susceptible d'aggraver l'atteinte à la réglementation. Elle le sera d'autant moins qu'ils seront tous situés dans des renfoncements des façades actuelles. Ils ne seront pas accrochés à la façade mais s'inscriront au contraire dans le volume des bâtiments, ce qui réduira largement leur impact visuel. Eu égard à leurs caractéristiques, ces balcons n'apparaitront donc pas, aux yeux d'un observateur extérieur, comme un volume supplémentaire du bâtiment. Sous cet angle également, une aggravation des inconvénients pour le voisinage ne peut être retenue. bb) En revanche, c'est à tort que la municipalité, après avoir pourtant expressément rappelé la distance réglementaire maximale d'empiètement de deux mètres, a considéré que les trois colonnes de balcons litigieuses étaient admissibles telles que mises à l'enquête publique. Il est en effet aisé de constater sur les plans au dossier que, comme souligné par les recourants, les trois colonnes de balcons empièteront de plus de deux mètres sur les espaces réglementaires puisque leur profondeur variera de 2,20 m à 2,50 m. Sur ce point, le grief des recourants s'avère bien-fondé et doit être admis, les balcons des trois colonnes inscrites hors des périmètres d'implantation devant être ramenés à une profondeur de 2 m. 10. a) Les recourants allèguent encore que les surfaces supplémentaires résultant de l'intégration des loggias aux logements conduiront au dépassement du coefficient d'utilisation du sol. Ils fondent leur raisonnement sur la comparaison entre les surfaces brutes utiles des planchers mentionnées dans le formulaire (P) du dossier d'autorisation de construire et celles autorisées pour chaque immeuble selon les PQ-NO et PQ-S. La propriétaire a pour sa part produit un calcul des surfaces dans le cadre de la présente procédure, qui atteste que le coefficient d'utilisation du sol serait respecté. La municipalité ne s'est pas déterminée sur ce point. b) A cet égard, le tribunal constate que les recourants omettent de prendre en considération le bonus de 5 % de l'art. 97 al. 4 LATC. Quant à la propriétaire, elle fournit certes un calcul des surfaces, dont les données ne semblent toutefois pas coïncider avec les surfaces mentionnées par ses soins dans le formulaire (P). En l'absence de l'intégralité des plans relatifs au calcul des surfaces et de toutes explications à ce sujet de la part de la municipalité, le tribunal de céans n'est pas en mesure de vérifier la réglementarité du projet sous cet angle. c) Vu l'issue du litige, il n'est cependant pas nécessaire d'approfondir cette problématique qu'il incombera à la municipalité d'instruire puisque la cause lui sera renvoyée pour les motifs déjà exposés.</w:t>
      </w:r>
    </w:p>
    <w:p>
      <w:r>
        <w:rPr>
          <w:b/>
        </w:rPr>
        <w:t>E. 3</w:t>
      </w:r>
    </w:p>
    <w:p>
      <w:r>
        <w:t>L'information chiffrée du propriétaire relative à la répercussion probable sur le revenu locatif annuel net des logements de l'immeuble peut s'exprimer en CHF ou en CHF m²/an, et dans tous les cas, en pourcentage. " bb) Pour déterminer la portée de ces dispositions, il est nécessaire de rappeler certains éléments historiques. En juin 2011, le Conseil d'Etat a soumis au Grand-Conseil l'Exposé des motifs et projet de loi n o 408 sur la loi sur la préservation du parc locatif existant (LPPL 2011). En 2014, le Conseil d'Etat a soumis au Grand Conseil un Exposé des motifs complémentaire et projets de lois sur la préservation du parc locatif vaudois (LPPL) et modifiant la loi du 6 mai 2006 sur l'énergie (EMPL n o 168), accompagné des Rapports du Conseil d'Etat au Grand Conseil sur le postulat Jean-Michel Dolivo et consorts " pour renforcer les droits des locataires dans la loi concernant la démolition, la transformation et la rénovation de maisons d'habitations ainsi que l'utilisation de logements à d'autres fins que l'habitation (LDTR) " (09_POS_156) et sur le postulat Frédéric Borloz " Logement: pour le bien des locataires et des propriétaires dépassons le statut quo! " (09_POS_157) ( cf . Bulletin du Grand Conseil [BGC], tome 17, pp. 409 s.). Le projet de loi, renommé dans l'intervalle loi sur la préservation et la promotion du parc locatif (LPPPL), a été adopté le 10 mai 2016 et la LPPPL est entrée en vigueur le 1 er janvier 2018. En substance, il ressort des débats parlementaires relatifs à la LPPL que l'obligation d'informer les locataires de l'art. 6 LPPPL tend à garantir le respect des droits des locataires et a pour but d'initier et favoriser un dialogue entre ces derniers et les propriétaires s'agissant des travaux envisagés. Il a également été relevé que la fourniture d'information et la consultation bénéficie aux deux parties dans la mesure où cela évite des confrontations souvent longues entre les intéressés et permet au propriétaire de déterminer les travaux à réaliser sur la base des connaissances particulières du lieu de ceux qui y habitent ( cf . BGC, tome 17, 3 novembre 2015, pp. 53 ss, en particulier p. 60). Lors de la lecture des articles et des commentaires du projet de loi par la Commission, le député Dolivo a proposé de sanctionner de la manière suivante l'éventuelle violation du droit à l'information et à la consultation des locataires imposé par l'art. 6 al. 3 LPPPL: " En cas de non-respect, le Département n'entre pas en matière sur la demande d'autorisation ". Cet amendement a néanmoins été refusé par la majorité de la commission ( cf . Rapport de la majorité de la commission, BGC, tome 17, 3 novembre, pp. 85 s). A l'occasion du premier débat du 3 novembre 2015, le rapporteur de minorité Dolivo a une nouvelle fois proposé d'introduire cette sanction dans la loi, précisant qu'il s'agissait de " la seule sanction prévue, qui n' [était] pas financière, mais qui p [ouvait] retarder les travaux si le propriétaire avait décidé d'agir rapidement " ( cf . BGC, tome 17, 3 novembre 2015, p. 59 ss). Cela étant, son auteur a finalement abandonné cette partie de l'amendement au cours du premier débat ( cf . BGC, tome 17, 3 novembre 2015, p. 64). cc) Le 22 mai 2018, la motion Jean-Michel Dolivo et consorts déposée le 15 mai 2018, intitulée " Violations de l'obligation d'informer les locataires en cas de travaux dans leur immeuble, quelles conséquences? " (18_MOT_040), a été renvoyée à l'examen d'une commission. On extrait notamment ce qui suit du texte de la motion: " Il appert toutefois que l'absence de conséquences concrètes pour les propriétaires du non-respect de cette obligation d'informer les locataires [de l'art.</w:t>
      </w:r>
    </w:p>
    <w:p>
      <w:r>
        <w:rPr>
          <w:b/>
        </w:rPr>
        <w:t>E. 6</w:t>
      </w:r>
    </w:p>
    <w:p>
      <w:r>
        <w:t>al. 3 LPPPL et 10 RLPPPL] permet de contourner trop facilement la volonté du législateur: rappelons que cette disposition de la LPPPL avait été adoptée notamment parce que l'information et la consultation des locataires sont essentielles en cas de travaux, d'une part, pour tenter d'éviter des litiges liés au projet de travaux prévus et, d'autre part, pour permettre aux locataires de s'exprimer sur les travaux prévus dans leur immeuble et, le cas échéant également, de faire des propositions quant à leur planification. Afin que cette obligation d'informer et de consulter les locataires devienne effectivement la règle, les député-e-s soussigné-e-s proposent l'ajout suivant à l'article 6, alinéa 3, de la LPPPL, après la dernière phrase dudit alinéa: 'A réception de ces observations et suggestions, le maître d'ouvrage ou son mandataire les transmet à l'autorité compétente. En cas de violation de cette obligation, celle-ci n'entre pas en matière sur la demande d'autorisation de transformation ou de rénovation.' " À l'occasion du développement de la motion, le député Dolivo a encore insisté sur le fait que l'obligation d'information et de consultation était essentielle pour les locataires et devait être " rend [u] e opérante ". Examinée en commission, la majorité de cette dernière a recommandé au Grand Conseil de ne pas prendre en considération la motion ( cf . rapports de majorité et de minorité de la commission des 14 décembre 2018, respectivement 6 janvier 2019, disponibles à l'adresse Internet: https://www.vd.ch/toutes-les-autorites/grand-conseil/liste-des-objets-en-attente-de-traitement-par-le-grand-conseil/departement-des-institutions-et-du-territoire/). Au 21 février 2020, la motion figurait sur la liste des objets en attente de traitement par le Grand Conseil. c) En l'espèce, dans la mesure où la LPPPL et le RPPPL sont entrés en vigueur le 1 er janvier 2018, soit antérieurement au dépôt de la demande d'autorisation de construire, ils sont applicables à la présente cause. aa) Il ressort du dossier qu'une séance d'information a réuni les représentants de la constructrice et de l'association le 5 février 2018 pour discuter du projet de rénovation. De même, la constructrice a adressé un avis aux locataires le 26 février 2018 dans le but de les informer quant aux travaux envisagés. Il est douteux que cette information soit conforme aux exigences de la des art. 6 al. 3 LPPPL et 10 RLPPPL, ce que la constructrice ne soutient du reste pas sérieusement. Quoi qu'il en soit, cette question souffre de demeurer indécise pour les motifs qui suivent. A supposer la violation des dispositions précitées établies, il conviendrait de statuer sur les conséquences qui en résulteraient, lesquelles sont débattues entre les parties. Comme le soutiennent les recourants, il est certes exact que l'obligation d'information et de consultation préalable ne poursuit pas les mêmes buts que la mise à l'enquête proprement dite. Contrairement à ce qu'ils suggèrent, ce constat ne renseigne cependant pas sur l'éventuelle sanction du non-respect de cette obligation. A cet égard, il suffit néanmoins de rappeler que lors des travaux parlementaires, la nécessité de prévoir une sanction spécifique – c'est-à-dire hors celles prévues aux art. 25 et 26 LPPPL –, en cas de non-respect de l'obligation d'informer et de consulter les locataires – à savoir la non-entrée en matière sur la requête d'autorisation ( cf . consid. 3b/bb et 3b/cc ci-dessus) – a expressément été évoquée et débattue. Le législateur y a toutefois renoncé, de sorte qu'il ne s'agit pas d'une lacune de la loi mais d'un choix éclairé de sa part. Dans ces conditions, le tribunal de céans ne peut annuler les décisions entreprises faute d'information des locataires et imposer ainsi à la propriétaire qu'elle entame une nouvelle procédure d'autorisation. Ce faisant, le tribunal réintroduirait en effet, par la voie jurisprudentielle, une sanction que le législateur a volontairement exclue, procédé inadmissible. L'appréciation qui précède est du reste confirmée par la motion 18_MOT_040, qui tend précisément à remédier à " l'absence de conséquences concrètes pour les propriétaires [en cas de] non-respect de cette obligation d'informer les locataires ", motion actuellement en attente de traitement par le Grand Conseil. Dans ces circonstances, il n'appartient pas au tribunal de se substituer au législateur, ni d'anticiper le sort de la motion précitée, ce qui conduit au rejet du grief. Les jurisprudences rendues dans en application de l'ancienne LDTR et dont les recourants se prévalent – sans toutefois en préciser les références – ne leur sont par ailleurs d'aucun secours puisque les problématiques juridiques étaient radicalement différentes. L'arrêt AC.2013.0174 du 13 août 2013 a en effet admis le recours interjeté après avoir constaté que le permis de construire était vicié, puisqu'il avait été délivré avant l'octroi de l'autorisation spéciale cantonale exigée par l'art. 4 LDTR. Dans l'arrêt AC.2004.0119 du 30 juin 2005, l'ancien Tribunal administratif (TA) a admis le recours pour violation du droit d'être entendu, car l'autorité n'avait pas consulté un représentant des locataires, alors que cette mesure était obligatoire lorsqu'une expertise technique du bâtiment était diligentée, ce qui avait été le cas dans cette affaire ( cf . art. 10 et 11 du règlement – abrogé – du 6 mai 1988 appliquant la loi du 4 mars 1985 concernant la démolition, la transformation et la rénovation de maisons d'habitation, ainsi que l'utilisation de logements à d'autres fins que l'habitation [RLDTR; BLV 840.15.1]). Dans le présent cas en revanche, les art. 6 al. 3 LPPPL et 10 al. 1 RLPPPL astreignent le propriétaire – non les autorités intimées – à informer et consulter les locataires, ce qui exclut une violation du droit d'être entendus des recourants pour ce motif. bb) S'agissant du prétendu défaut d'instruction de la part des autorités intimées – absence d'inspection locale et d'expertise technique – dont les recourants déduisent une violation de leur droit d'être entendus, il s'agit de mesures qui ne sont pas obligatoires mais qui peuvent être mises en œuvre par les autorités intimées qui disposent à cet égard d'un certain pouvoir d'appréciation ( cf . art. 9 LPPPL; art. 12 et 13 RLPPPL). Or, le mémoire de recours mentionne uniquement que les mesures précitées auraient été nécessaires en raison de " l'ampleur et [du] coût très conséquent des travaux projetés ", motivation très générale qui ne suffit pas à remettre en cause la décision de l'autorité intimée d'y renoncer. Cela est d'autant plus vrai que dans son mémoire de réponse, la division a exposé les raisons qui l'ont conduite à renoncer à ces mesures – absence de restructurations intérieures importantes, consultation des guichets cartographiques et des documents au dossier suffisante pour statuer – sans que ces éléments ne soient contestés par les recourants dans leur mémoire de réplique. Pour sa part, le tribunal ne discerne pas de motif permettant de conclure que les autorités intimées auraient abusé ou excédé leur pouvoir d'appréciation en choisissant de ne pas diligenter de telles mesures. Le tribunal considère également qu'en l'absence d'inspection locale et d'expertise technique, le dossier de la cause s'avère néanmoins suffisamment complet pour lui permettre de statuer sur les griefs relatifs à la LPPPL en connaissance de cause. d) Au vu des considérants qui précèdent, les griefs des recourants sont mal fondés et doivent être rejetés. Pour les mêmes motifs, la requête d'inspection locale formulée dans le cadre de la présente procédure doit également être rejetée. 4. a) Dans leur deuxième grief, les recourants se prévalent d'une violation de l'art. 13 LPPPL. Selon eux, certains travaux inclus dans la version maximaliste n'apparaîtraient pas indispensables pour des motifs de sécurité, de salubrité ou d'intérêt général, ni ne permettraient de favoriser les économies d'énergie ou l'utilisation d'énergie renouvelables et n'auraient par conséquent pas été autorisables. Il s'agirait de la fermeture des loggias actuelles et leur intégration dans les surfaces chauffées des appartements, ainsi que la création de nouveaux balcons en remplacement des loggias désormais intégrées aux logements. Du point de vue des recourants, ces travaux reposeraient uniquement sur des motifs d'opportunité technique. Or, si ces derniers constituaient un motif d'autorisation sous l'empire de la LDTR, tel ne serait plus le cas en vertu de la LPPPL. b) A titre liminaire, on rappellera que le 1 er janvier 2018, la LPPPL a remplacé la LDTR. A maintes reprises, le tribunal de céans a jugé qu'il existait une convergence d’objectifs entre la LDTR et la LPPPL pour ce qui concerne la préservation du parc locatif (arrêts AC.2018.0436 du 29 avril 2020 consid. 3c; FO.2019.0003 du 28 mai 2019 consid. 2a et FO.2018.0011 précité consid. 2a). Désormais, en vertu de l’art. 13 LPPPL, intitulé " motifs d’autorisation ", l'autorisation est accordée (al. 1): lorsque les logements loués concernés n'entrent pas dans une catégorie à pénurie (let. a); lorsque les travaux ou le changement d'affectation apparaissent indispensables pour des motifs de sécurité, de salubrité ou d'intérêt général (let. b); lorsque les travaux permettent de favoriser les économies d'énergie ou l'utilisation d'énergies renouvelables, notamment dans les cas prévus dans la loi sur l'énergie. Le département tient compte dans son analyse des baisses prévisibles des charges qu'entraînera l'amélioration du bilan énergétique du bâtiment (let. c). Dans les cas visés sous lettres b) et c) ci-dessus, l'autorisation n'est accordée que pour autant que l'investissement consenti reste proportionné par rapport aux avantages attendus et que les travaux n'aient pas pour objectif de soustraire les logements en cause des catégories répondant aux besoins de la population (al. 2). Sous l'empire de la LDTR, l'autorisation était délivrée en application de l'art. 4 al. 1 LDTR " lorsque la démolition, la transformation, la rénovation ou le changement d'affectation apparaiss [ai] ent indispensables pour des motifs de sécurité, de salubrité ou d'intérêt général, en particulier dans les cas visés par l'article 39 de la loi cantonale sur l'énergie [soit les travaux permettant une amélioration énergétique dont les avantages sont opportuns par rapport à l'investissement à consentir ] ; elle p [ouvai] t l'être à titre exceptionnel si d'autres circonstances le command [ai] ent impérativement. " A l'exception de cette dernière phrase, les motifs étaient donc les mêmes que ceux désormais prévus par la LPPPL, de sorte que les principes dégagés en relation avec la l'art. 4 al. 1 LDTR demeurent pertinents pour interpréter l'art. 13 LPPPL. L'art. 17 RLPPPL dispose quant à lui que le propriétaire doit apporter toute précision sur les motifs de sécurité, de salubrité ou d'intérêt général justifiant la délivrance d'une autorisation (al. 1) et fournir un bilan thermique de l'immeuble ou un certificat énergétique du bâtiment lorsqu'il entend procéder à des travaux permettant de favoriser les économies d'énergie, ainsi que toute précision utile sur les options techniques prévues (al. 2). aa) Concernant les motifs énergétiques (art. 13 al. 1 let. c), l'art. 39 LVLEne dispose qu'en cas de rénovation ou transformation d'un bâtiment permettant une amélioration énergétique dont les avantages sont opportuns par rapport à l'investissement à consentir, l'autorisation est accordée dans le cadre de l'art. 13 LPPPL. Entré en vigueur le 1 er juillet 2014, l'art. 28e LVLEne (inclus dans le "Titre V Consommation" de la LVLEne) dispose notamment que les grands consommateurs existants s'engagent, individuellement ou en groupe, à poursuivre les objectifs fixés par le service (al. 1) et qu'à défaut, le service peut exiger de leur part qu'ils analysent leur consommation d'énergie et prennent des mesures raisonnables d'optimisation (al. 2). bb) S'agissant des motifs d'intérêt général faisant apparaître comme indispensables les travaux projetés, la jurisprudence cantonale a retenu – sous l'angle de l'art. 4 al. 1 LDTR – qu'il n'y avait pas lieu d'interpréter cette hypothèse de manière extensive. Il est exclu de faire prévaloir sans autre l'intérêt au bon entretien à long terme des immeubles sur le but spécifique de la loi, à savoir le maintien des logements à loyers modérés existants (arrêts AC.2013.0289 du 9 octobre 2015 consid. 3b; AC.2014.0251 du 14 juillet 2015 consid. 14b/bb; RDAF 2001 I 344 consid. 4b/bb). L'autorité compétente n'a pas à autoriser un projet au seul motif que les loyers après travaux resteraient encore dans la catégorie des logements à pénurie, c'est-à-dire atteindraient un niveau proche de la limite qui les ferait sortir de cette catégorie; il convient donc de s'en tenir aux travaux essentiels, de les réaliser le cas échéant par étapes, et non pas de réaliser d'emblée et nécessairement un programme maximum ( Ibidem ; ég. arrêts AC.2014.0414 du 29 juillet 2016 consid. 2b et AC.2002.0066 du 11 février 2003, consid. 3b). En définitive, le législateur vise dans ce cadre une " rénovation douce ", admissible selon trois types de critères: sont autorisés les travaux qui visent à maintenir la valeur du patrimoine bâti existant (travaux de rénovation des façades ou de la toiture, par exemple); doivent également pouvoir être admis les travaux relevant de considérations de sécurité (par exemple le remplacement des installations électriques); sont encore admissibles certaines opérations tendant à adapter les installations intérieures (cuisines, salles de bains) à des standards actualisés, en restant dans le cadre tracé par la méthode MERIP (arrêts AC.2013.0289 précité consid. 3b et AC.2002.0066 précité consid. 3c/ff). L 'autorité intimée ne peut se contenter d’avaliser une enveloppe financière, mais doit vérifier si les travaux prévus sont indispensables au sens de la loi et ne saurait autoriser des travaux ayant clairement pour but une augmentation du standard de l'immeuble, quand bien même le constructeur annoncerait qu'il est en mesure de les réaliser tout en respectant le coût maximum prescrit ( cf . arrêts AC.2015.0244 du 19 janvier 2017 consid. 1c; AC.2014.0414 précité consid. 2b et AC.2013.0289 précité consid. 3b). Dans l'appréciation de la vétusté ou de la dégradation de chacun des éléments concernés, une appréciation doit intervenir et chaque élément d'appréciation peut être discuté (arrêts précités AC.2013.0289 consid. 3d et AC.2014.0251 consid. 14b/cc). C'est à l'aune de ce qui précède que la CDAP a jugé que l'installation d'un ascenseur dans un immeuble, qui impliquait une réduction de 2 m 2 de la surface habitable de la moitié des logements, n'entraînait pas une modification sensible de la structure des logements existants, ni ne modifiait sensiblement leur " standing " ou leur " standard " (arrêt AC.2011.0201 du 28 mai 2013 consid. 2c/dd). Dans une autre affaire, le département avait retenu que les travaux de restructuration des logements impliquant une augmentation des surfaces – de 10 m 2 pour les 3,5 pièces et de 11 m 2 pour les 4,5 pièces – en raison de l'ajout d'une nouvelle partie " cuisine ", ne constituaient pas prima facie des travaux " indispensables " sous l'angle de la LDTR. Néanmoins, il avait considéré que le gain de surfaces permettait de se rapprocher des normes usuelles actuelles – de 70 à 77 m 2 pour les 3 pièces, 90 à 99 m 2 pour les 4 pièces – sans entraîner un surcoût disproportionné dans le contexte global de ce projet. A l'issue d'une pesée des intérêts en présence, le département avait par conséquent décidé d'admettre la répercussion des travaux mais uniquement sur les surfaces existantes et non sur celles à créer, afin de limiter le rendement de l'investissement. Ce raisonnement a été confirmé par la CDAP ( cf . arrêt AC.2014.0251 du 14 juillet 2015 consid. 14b/dd.). cc) Enfin, comme l'admettent toutes les parties, le motif d'" opportunité technique " de l'art. 12 al. 1 RLDTR, dont la reprise dans la LPPPL avait initialement été envisagée, a finalement été abandonné au cours des débats parlementaires. Cela étant, il convient de souligner ici que les recourants ne peuvent rien tirer de ce constat. En effet, il a déjà été jugé que l'art. 12 RLDTR dépassait le cadre fixé par l'art. 4 LDTR (limité aux travaux indispensables). Dépourvu de base légale, cette disposition n'était pas conséquent pas appliquée ( cf . arrêts AC.2006.0016 du 30 octobre 2009 consid. 4a/dd et AC.2002.0066 du</w:t>
      </w:r>
    </w:p>
    <w:p>
      <w:r>
        <w:rPr>
          <w:b/>
        </w:rPr>
        <w:t>E. 11</w:t>
      </w:r>
    </w:p>
    <w:p>
      <w:r>
        <w:t>a) En dernier lieu, les recourants invoquent une hauteur insuffisante des loggias une fois qu'elles auront été fermées. Ils y voient une violation de l'art. 27 RLATC qui prescrit une hauteur minimale de 2,40 m pour les locaux servant à l'habitation ou au travail sédentaire. Ils déplorent l'absence de plans de détail des travaux à effectuer dans les loggias mais soutiennent que les interventions nécessaires à leur fermeture impliqueraient une diminution de la hauteur de ces pièces b) D'emblée, le tribunal relève que dans la mesure où les loggias sont délimitées (sol et plafond) par les dalles existantes des logements qu'elles prolongent, leur hauteur est équivalente à celle des appartements. Certes ne serait-il pas exclu, bien que surprenant, que d'éventuels travaux au sol ou au plafond des loggias fermées en diminuent la hauteur au point qu'elle s'avère non réglementaire. La propriétaire a quoi qu'il en soit produit un plan de détail de la fermeture des loggias, ainsi qu'une présentation 3D de celles-ci avant et après travaux, qui attestent que la hauteur minimale de 2,40 m sera respectée une fois les loggias fermées. c) Privé de fondement, le grief doit être rejeté.</w:t>
      </w:r>
    </w:p>
    <w:p>
      <w:r>
        <w:rPr>
          <w:b/>
        </w:rPr>
        <w:t>E. 12</w:t>
      </w:r>
    </w:p>
    <w:p>
      <w:r>
        <w:t>Au vu des développements qui précèdent, le recours est partiellement admis et les décisions de la division du 17 juillet 2017 ainsi que de la municipalité du 30 septembre 2019 sont annulées. Le dossier de la cause leur est renvoyé pour complément d'instruction et nouvelles décisions sur les loyers admissibles après travaux (répercussion du coût des travaux d'ajout des balcons [ cf . consid. 5 ci-dessus] et suppression du montant correspondant à la " valorisation foncière " [ cf . consid. 7 ci-dessus] pour la division et réduction de la profondeur de trois colonnes de balcons litigieux [ cf . consid. 9 ci-dessus], ainsi que vérification du respect des coefficients d'utilisation du sol [ cf . consid. 10 ci-dessus] pour la municipalité).</w:t>
      </w:r>
    </w:p>
    <w:p>
      <w:r>
        <w:rPr>
          <w:b/>
        </w:rPr>
        <w:t>E. 13</w:t>
      </w:r>
    </w:p>
    <w:p>
      <w:r>
        <w:t>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 rectificatif AC.2019.0144 du 2 novembre 2020 consid. 2b; arrêts AC.2019.0099 du 21 avril 2020 consid. 8 et AC.2019.0258, AC.2019.0261 du 10 mars 2020 consid. 6). Il appartient en conséquence à la propriétaire, qui succombe, de supporter les frais de justice. Une indemnité à titre de dépens sera allouée à la recourante qui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