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AC.2019.0258 vom 10. März 2020</w:t>
      </w:r>
    </w:p>
    <w:p>
      <w:r>
        <w:t>VD Tribunal cantonal, 2020-03-10, FR</w:t>
      </w:r>
    </w:p>
    <w:p>
      <w:r>
        <w:rPr>
          <w:b/>
        </w:rPr>
        <w:t xml:space="preserve">Quelle: </w:t>
      </w:r>
      <w:r>
        <w:t>https://mcp.opencaselaw.ch/entscheid/vd_omni_AC.2019.0258</w:t>
      </w:r>
    </w:p>
    <w:p>
      <w:r>
        <w:t>FR: VD_OMNI AC.2019.0258 du 10 mars 2020</w:t>
      </w:r>
    </w:p>
    <w:p>
      <w:r>
        <w:t>IT: VD_OMNI AC.2019.0258 del 10 marzo 2020</w:t>
      </w:r>
    </w:p>
    <w:p>
      <w:pPr>
        <w:pStyle w:val="Heading2"/>
      </w:pPr>
      <w:r>
        <w:t>Regeste</w:t>
      </w:r>
    </w:p>
    <w:p>
      <w:r>
        <w:t>A.________ et B.________ /Municipalité de Bourg-en-Lavaux, C.________ et D.________ | Régularisation de deux annexes accolées en zone de villas contestées par des voisins. Il s’agit ici d’une reconstruction après démolition de sorte que le constructeur ne peut pas se prévaloir de l’art. 80 LATC. Rappel des principes en matière de fractionnement des parcelles (art. 83 LATC). Admission des recours : une dépendance au sens de l’art. 39 RLATC ne peut être autorisée que si elle est située sur le même fonds que la construction principale. Admission aussi pour des motifs esthétiques (art. 86 LATC). Recours au TF irrecevable (1C_200/2020 du 2 juillet 2020).</w:t>
      </w:r>
    </w:p>
    <w:p>
      <w:pPr>
        <w:pStyle w:val="Heading2"/>
      </w:pPr>
      <w:r>
        <w:t>Erwägungen</w:t>
      </w:r>
    </w:p>
    <w:p>
      <w:r>
        <w:rPr>
          <w:b/>
        </w:rPr>
        <w:t>E. 1</w:t>
      </w:r>
    </w:p>
    <w:p>
      <w:r>
        <w:t>Le constructeur conteste la qualité pour recourir de la recourante B.________. a) L’art. 75 al. 1 let. a de la loi sur la procédure administrative du 28 octobre 2008 (LPA-VD; BLV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est admise, dès lors que l’art. 75 al. 1 let. a LPA-VD exige un intérêt digne de protection à l’annulation ou à la modification de la décision attaquée (cf. également art. 89 al. 1 let. c LTF; AC.2010.0046 du 17 janvier 2011 consid. 1 et les références citées). Ainsi, p 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action populaire ", lorsqu'un particulier conteste une autorisation donnée à un tiers (ATF 133 II 400 consid. 2.4.2 p. 406; 133 V 239 consid. 6.2 p. 242; 131 V 298 consid. 3 p. 300, et les arrêts cités). Dans le domaine des constructions, le voisin a qualité pour agir lorsque son terrain jouxte celui du constructeur ou se trouve à sa proximité immédiate (ATF 135 II 145 consid. 6.2 p. 152; 133 II 409 consid. 1.3 p. 413; cf. ATF 110 Ib 147 consid. 1b, 112 Ib 173/174 consid. 5b, 272/273 consid. 2c) ou, même en l'absence de voisinage direct, quand une distance relativement faible sépare l'immeuble du recourant de l'installation litigieuse (ATF 121 II 171 consid. 2b p. 174). Le critère déterminant la qualité pour agir du voisin ne saurait toutefois se résumer à la distance séparant son fonds de celui destiné à recevoir l'installation incriminée; le Tribunal fédéral tient ainsi compte de l'ensemble des circonstances. S'il est certain ou très vraisemblable que l'installation litigieuse sera à l'origine d'immissions - bruit, poussières, vibrations, lumière, fumée - atteignant spécialement les voisins, même situés à une certaine distance, ces derniers peuvent avoir qualité pour recourir (cf. AC.2019.0184 du 8 janvier 2020; AC.2018.0156 du 21 mars 2019 consid. 1b et les références citées). b) Dans le cas présent, la recourante B.________ est propriétaire de la parcelle n° 275. D'une surface de plus de 4'000 m</w:t>
      </w:r>
    </w:p>
    <w:p>
      <w:r>
        <w:rPr>
          <w:b/>
        </w:rPr>
        <w:t>E. 2</w:t>
      </w:r>
    </w:p>
    <w:p>
      <w:r>
        <w:t>Dans un premier grief, la recourante A.________ conteste les morcellements de parcelles auxquels a procédé le constructeur. Elle met en doute le respect de l'art. 51 RCAT qui prévoit une surface bâtie (coefficient d'occupation du sol: COS) de 1/8 de la surface totale de la parcelle. Cette disposition ne serait pas respectée suite au morcellement des parcelles n os 271 et 1667 au nord. Elle requiert notamment la production des dossiers ECA des différents bâtiments cadastrés sur la parcelle du recourant. a) Conformément à l'art. 83 al. 1 de la loi vaudoise du 4 décembre 1985 sur l'aménagement du territoire et les constructions (LATC; BLV 700.11), tout fractionnement ou toute modification de limites d'une parcelle, ayant pour effet de rendre une construction non réglementaire, sont interdits à moins que la demande présentée au registre foncier ne soit accompagnée d'une réquisition de mention signée de la municipalité et ayant pour effet de corriger l'atteinte portée aux règles de la zone. Dans un arrêt du 2 octobre 2012 (AC.2011.0311 consid. 3), le Tribunal a retenu qu'une mention au registre foncier se justifiait du moment que le fractionnement rendait une nouvelle construction non réglementaire du point de vue du COS. En revanche, lorsqu'un bâtiment existant n'était déjà pas conforme aux règles de la zone concernée au moment du fractionnement, il ne devait pas faire l'objet d'une mention car dans un tel cas de situation non réglementaire, ce n'est pas le fractionnement qui rend les constructions non réglementaires, elles l'étaient déjà auparavant. (cf. Bovay/Didisheim/Sulliger/Thonney, Droit fédéral et vaudois de la construction, 4 ème éd., 2010, n. 2 ad art. 83 LATC). Autrement dit, l'art. 83 LATC n'est pas applicable lorsque le fractionnement n'aggrave pas l'atteinte existante à la réglementation de la zone, s'agissant d'un ouvrage contraire au droit (AC.2011.0311 précité; Didisheim, Modifications des limites et dérogations en droit vaudois de la construction (...), RDAF 1991, p. 400ss, 401). Enfin, ne doit pas faire l'objet d'une mention un fractionnement qui respecte les règles de la zone (Bovay/ Didisheim/Sulliger/Thonney op. cit., n. 2 ad art. 83 LATC). b) En l'occurrence et à supposer que la recourante précitée ne soit pas à tard pour soulever un tel grief, la zone de l'ancienne ville, dans laquelle sont colloquées la parcelle n° 1667 et la partie supérieure de la parcelle n° 271 ne prévoit aucune limite en termes de COS. Le bâtiment n° ECA 103a est entièrement sis dans cette zone. On ne voit, dans ces circonstances, pas en quoi le fractionnement effectué entre les parcelles précitées serait de nature à rendre les constructions qui s'y trouvent non réglementaires du point du vue de leur surface bâtie. Quoi qu'il en soit, vu le sort du recours, il n'apparaît pas nécessaire d'instruire davantage cette question qui peut souffrir de rester indécise.</w:t>
      </w:r>
    </w:p>
    <w:p>
      <w:r>
        <w:rPr>
          <w:b/>
        </w:rPr>
        <w:t>E. 3</w:t>
      </w:r>
    </w:p>
    <w:p>
      <w:r>
        <w:t>Les recourantes contestent la conformité de la construction à la réglementation applicable: d'une part les dépendances d'origine étaient sises à un autre endroit, de sorte que le constructeur ne saurait bénéficier de la garantie de la situation acquise au sens de l'art. 80 LATC. Il ne s'agirait par ailleurs pas véritablement d'une dépendance non habitable. La recourante A.________ met également en doute la possibilité de construire une dépendance sur la parcelle n° 10106 dès lors qu'il n'y a pas de construction principale sur cette parcelle. a) Aux termes de l'art. 80 LATC,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deux est applicable par analogie (al. 3). b) En l'occurrence, le constructeur a indiqué, dans sa demande de permis de construire, qu'il s'agissait de travaux de démolition/reconstruction. Dans ses explications du 20 juillet 2018, il a confirmé avoir démoli le bâtiment existant et vouloir le reconstruire. En audience, il a indiqué avoir démoli une dalle d'origine et reconstruit une nouvelle. Le Tribunal a constaté sur place que les constructions litigieuses sont entièrement nouvelles, même si elles s'appuient sur les murs mitoyens à la parcelle n° 270. Force est ainsi de retenir qu'il s'agit bien de nouvelles constructions, de sorte que le constructeur ne saurait se prévaloir de l'art. 80 LATC, même en admettant la présence antérieure de constructions à l'emplacement des constructions litigieuses, telle qu'illustrée en particulier par la photographie produite par la Municipalité, le 18 février 2020 (voir aussi les photographies de 2004 et 2007 produites par le constructeur: pièces 2 et 3). Dans ces circonstances, il n'apparaît pas nécessaire d'instruire davantage la question de l'emplacement exact des constructions anciennes démolies dont l'emplacement diverge sur les différents plans de géomètre au dossier.</w:t>
      </w:r>
    </w:p>
    <w:p>
      <w:r>
        <w:rPr>
          <w:b/>
        </w:rPr>
        <w:t>E. 4</w:t>
      </w:r>
    </w:p>
    <w:p>
      <w:r>
        <w:t>Ces constructions ne peuvent être autorisées que pour autant qu'elles n'entraînent aucun préjudice pour les voisins.</w:t>
      </w:r>
    </w:p>
    <w:p>
      <w:r>
        <w:rPr>
          <w:b/>
        </w:rPr>
        <w:t>E. 5</w:t>
      </w:r>
    </w:p>
    <w:p>
      <w:r>
        <w:t>Dans son opposition, la recourante B.________ met en doute le caractère esthétique de la construction. a) L’art. 86 de la loi vaudoise du 4 décembre 1985 sur l'aménagement du territoire et les constructions (LATC; BLV 700.11)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niveau communal, l'art. 116 RCAT prévoit que la Municipalité veille notamment lors des demandes de permis de construire, au bon aspect des constructions et à la discrétion des formes et des couleurs. Pour masquer des constructions ou des installations qui ne peuvent être démolies, elle peut exiger des plantations d'arbres ou de haies dont elle peut en outre fixer les essences et la hauteur, tant maximum que minimum. b) Dans le cas présent, le DGIP a émis un préavis négatif compte tenu de l'impact négatif des constructions litigieuses dans le paysage, en particulier s'agissant de leur toiture. Vu l'inscription de la commune dans l'ISOS il convenait, selon cette autorité, de proscrire la toiture en plaques PVC imitation tuile marron, car ce type de toiture dénaturait le site. Le Tribunal a pu constater en audience l'impact visuel particulièrement inesthétique de cette toiture, en particulier depuis la parcelle de la recourante A.________. Il convient aussi de garder à l'esprit que cette annexe sera visible depuis le lac, ainsi qu'en attestent les photographies au dossier relatives à la construction antérieure. L'ensemble des lieux est par ailleurs caractérisé par des grands jardins qui descendent jusqu'au lac et qui présentent un paysage de qualité qu'il se justifie de préserver. Dans ces circonstances, le maintien d'une toiture en tôle ondulée telle que celle existante n'apparaît pas soutenable, quand bien même l'aspect visuel de celui-ci serait réduit, dès lors que la construction mitoyenne sur la parcelle n° 10106 ne peut être régularisée comme on l'a vu ci-dessus. La Municipalité a d'ailleurs reconnu, en audience, le caractère inesthétique de cette toiture. Il convient en conséquence d'admettre ce grief et de renvoyer le dossier à l'autorité intimée afin qu'elle détermine dans quelle mesure la dépendance cadastrée sous le n° ECA 103b peut être régularisée, moyennant l'amélioration de l'esthétique du toit.</w:t>
      </w:r>
    </w:p>
    <w:p>
      <w:r>
        <w:rPr>
          <w:b/>
        </w:rPr>
        <w:t>E. 6</w:t>
      </w:r>
    </w:p>
    <w:p>
      <w:r>
        <w:t>Il résulte des considérants qui précèdent que les recours sont admis et les décisions contestées annulées. Le dossier sera renvoyé à la Municipalité pour qu'elle statue sur l'ordre de remise en état sur la parcelle n° 10106 et sur l'esthétique de l'annexe litigieuse sur la parcelle n° 271 (n° ECA 103b). De jurisprudence constante, lorsque la procédure met en présence, outre un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(AC.2019.0184 du 8 janvier 2020; AC.2017.0112 du 31 juillet 2019; AC.2018.0127 du 21 janvier 2019 consid. 4 et les références citées). Il convient en conséquence de mettre les frais à la charge du constructeur qui succombe (art. 49 LPA-VD; art. 4 du tarif du 28 avril 2015 des frais judiciaires et des dépens en matière administrative: TFJDA; BLV 173.36.5.1). Succombant également, la Municipalité n'a pas droit à des dépens (art. 55 LPA-VD). Une indemnité à titre de dépens sera allouée à la recourante A.________ qui obtient gain de cause avec l'assistance d'un avocat (art. 55 LPA-VD; art. 10-11 TFJDA). Bien qu'obtenant également gain de cause, la recourante B.________ n'a pas droit à des dépens, dès lors qu'elle n'a pas procédé avec l'assistance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