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AC.2019.0250 vom 13. Juli 2020</w:t>
      </w:r>
    </w:p>
    <w:p>
      <w:r>
        <w:t>VD Tribunal cantonal, 2020-07-13, FR</w:t>
      </w:r>
    </w:p>
    <w:p>
      <w:r>
        <w:rPr>
          <w:b/>
        </w:rPr>
        <w:t xml:space="preserve">Quelle: </w:t>
      </w:r>
      <w:r>
        <w:t>https://mcp.opencaselaw.ch/entscheid/vd_omni_AC.2019.0250</w:t>
      </w:r>
    </w:p>
    <w:p>
      <w:r>
        <w:t>FR: VD_OMNI AC.2019.0250 du 13 juillet 2020</w:t>
      </w:r>
    </w:p>
    <w:p>
      <w:r>
        <w:t>IT: VD_OMNI AC.2019.0250 del 13 luglio 2020</w:t>
      </w:r>
    </w:p>
    <w:p>
      <w:pPr>
        <w:pStyle w:val="Heading2"/>
      </w:pPr>
      <w:r>
        <w:t>Regeste</w:t>
      </w:r>
    </w:p>
    <w:p>
      <w:r>
        <w:t>A.________, B.________/Municipalité d'Etagnières, C.________ | Parcelle dont le coefficient d’occupation du sol est largement dépassé. Alors qu'il a déjà été jugé qu’une structure composée de panneaux solaires, d’une structure en bois et d’un cabanon pour outils de jardin n'était pas conforme et devait être démontée (arrêts AC.2013.0375 et AC.2017.0259), les recourants demandent à la municipalité de rendre une décision constatant que les aménagements qu'ils envisagent d’installer sous cette structure (deux cabanons de jardin et un local à vélos) ne sont pas sujets à autorisation de construire, en application de l'art. 68a RLATC. Rejet de la demande par la municipalité. Dans leur recours, les recourants concluent à ce que les aménagements soient "autorisés" en application de l'art. 68a RLATC. Alors que la décision municipale refusait de constater que les aménagements n'étaient pas soumis à autorisation, les conclusions du recours tendent à l'octroi d'une autorisation. Les conclusions du recours sortent du cadre fixé par la décision attaquée. Partant, le recours doit être déclaré irrecevable. A supposer même que le recours soit recevable, il devrait être de toute façon rejeté sur le fond. Recours au TF rejeté dans la mesure de sa recevabilité (1C_480/2020 du 30 juin 2021).</w:t>
      </w:r>
    </w:p>
    <w:p>
      <w:pPr>
        <w:pStyle w:val="Heading2"/>
      </w:pPr>
      <w:r>
        <w:t>Erwägungen</w:t>
      </w:r>
    </w:p>
    <w:p>
      <w:r>
        <w:rPr>
          <w:b/>
        </w:rPr>
        <w:t>E. 1</w:t>
      </w:r>
    </w:p>
    <w:p>
      <w:r>
        <w:t>Par la décision dont est recours, la municipalité a rejeté la demande des recourants et de la propriétaire tendant à ce qu'elle constate que la structure qui supporte des panneaux solaires sise sur leur parcelle n'est, en application de l'art. 68a RLATC, pas soumise à autorisation de construire.</w:t>
      </w:r>
    </w:p>
    <w:p>
      <w:r>
        <w:rPr>
          <w:b/>
        </w:rPr>
        <w:t>E. 2</w:t>
      </w:r>
    </w:p>
    <w:p>
      <w:r>
        <w:t>a) La municipalité considère le recours irrecevable. b) Aux termes de l’art. 79 al. 2 de la loi sur la procédure administrative du 28 octobre 2008 (LPA-VD, BLV 173.36), applicable par renvoi de l’art. 99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c) En l'espèce, dans leur requête formée auprès de la municipalité le 7 juin 2019, les recourants (et la propriétaire) ont demandé à celle-ci de rendre une décision constatant que les aménagements qu'ils entendent installer sous la structure qui supporte des panneaux solaires ne sont pas sujets à autorisation de construire, en application de l'art. 68a RLATC. Par sa décision litigieuse du 25 juin 2019, la municipalité a rejeté cette demande. Or, dans leur recours, les recourants ont conclu à ce que les constructions telles qu'ils les décrivaient dans leur demande du 7 juin 2019 soient "autorisées" en application de l'art. 68a RLATC. Alors que la décision municipale refusait de constater que les aménagements n'étaient pas soumis à autorisation, les conclusions du recours tendent à l'octroi d'une autorisation. Les conclusions du recours sortent du cadre fixé par la décision attaquée. Partant, le recours doit être déclaré irrecevable. A supposer même que le recours soit recevable, il devrait être de toute façon rejeté sur le fond, comme il est exposé ci-après.</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en charge de l'aménagement du territoire et de la police des constructions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 a. les objets ne relevant pas de la souveraineté cantonale; b. les objets dispensés d'autorisation par la législation cantonale spéciale." Le règlement du 19 septembre 1986 d'application de la LATC (RLATC; BLV 700.11.1), auquel renvoie l'art. 103 al. 2 in fine LATC, contient à son art. 68a al. 2, une énumération des constructions qui peuvent ne pas être soumises à autorisation: "a. les constructions et les installations de minime importance ne servant pas à l'habitation ou à l'activité professionnelle dont l'utilisation est liée à l'occupation du bâtiment principal à proximité duquel elles se situent telles que: – bûchers, cabanes de jardin ou serres d'une surface maximale de 8 m² à raison d'une installation par bâtiment ou unité de maisons jumelles ou groupées; – pergolas non couvertes d'une surface maximale de 12 m²; – abris pour vélos, non fermés, d'une surface maximale de 6 m²; – fontaines, sculptures, cheminées de jardin autonomes; – sentiers piétonniers privés; – panneaux solaires aménagés au sol ou en façade d'une surface maximale de 8 m²; b. les aménagements extérieurs, les excavations et les travaux de terrassement de minime importance tels que – clôtures ne dépassant pas 1,20 m de hauteur; – excavations et travaux de terrassement ne dépassant pas la hauteur de 0,50 m et le volume de 10 m³, [...]" Dans tous les cas cependant, pour ne pas être soumis à autorisation, l'ouvrage doit respecter les conditions de l'art. 103 al. 3 LATC exposées ci-dessus, c'est-à-dire qu'il ne doit pas porter atteinte à un intérêt public prépondérant ou à des intérêts privés, comme ceux des voisins, et ne pas avoir d'influence sur l'équipement et l'environnement (AC.2012.0220 du 31 janvier 2013 consid. 2; voir égal. Benoît Bovay et al., Droit fédéral et vaudois de la construction, 4e éd. Bâle 2010, rem. ad art. 68a RLATC). cc) Selon la jurisprudence cantonale, ont notamment été subordonnés à l’autorisation de construire, un abri amovible fait de supports métalliques tubulaires et couvert d'un toit en fibrociment ondulé (RDAF 1974, 367), une antenne parabolique individuelle (RDAF 1991, 83), un barbecue (RDAF 1990, 240), un bûcher (RDAF 1991, 83), un dépôt de planches utilisée par un menuisier (RDAF 1974, 367), un modérateur de trafic (gendarmes couchés sur une route privée - RDAF 1991, 83), une piscine gonflable (RDAF 1989, 82; 1990, 240), un portail (RDAF 2008 I 259, n° 61). c) En l'espèce, comme relevé ci-dessus, c'est à juste titre que la municipalité a refusé de dispenser d'autorisation les installations que les recourants et la propriétaire envisagent d'aménager sous la structure. aa) En effet, tout d'abord, on rappelle qu'il a déjà été jugé que l'entier de la structure existante (panneaux solaires, structure en bois et cabanon pour outils de jardin) n'était pas conforme et devait être démontée (arrêt AC.2013.0375). Pour ce motif déjà, la municipalité devait rejeter la demande des recourants. On peine d'ailleurs à comprendre l'argumentation des recourants qui voudraient aujourd'hui désolidariser les panneaux solaires – dont la dépose a été confirmée par le Tribunal fédéral – et la structure porteuse, dont la destruction avait déjà été ordonnée, alors même qu'ils ont recouru au Tribunal fédéral pour le maintien desdits panneaux en l'état. Il apparaît que les recourants recherchent à obtenir, par cette séparation artificielle, une décision leur permettant de conserver en définitive l'entier de la structure existante. La présente procédure s'assimilerait ainsi à une tentative de révision de la décision entrée en force, sans que les conditions d'une telle révision ne soient réalisées, ce qui ne saurait être admis. bb) Au demeurant, les recourant interprètent de façon erronée l'art. 68a al. 2 RLATC à deux titres. Premièrement, selon cette disposition, peuvent ne pas être soumises à autorisation les "cabanes de jardin d'une surface maximale de 8 m² à raison d'une installation par bâtiment ou unité de maisons jumelles ou groupées". Les recourants l'interprètent en ce sens que dans le cas de deux villas groupées comme les leurs, une cabane par villa pourrait être autorisée, soit deux. Or, dès lors que l'art. 68a al. 2 RLATC mentionne "une installation (...) par unité de maisons (...) groupées", et que les deux villas des recourants et de la propriétaire représentent une (et une seule) unité de deux maisons groupées, c'est bien de l'installation d'un seul cabanon de jardin d'une surface maximale de 8 m 2 dont les recourants pourraient le cas échéant être dispensés d'autorisation, et non de deux. En second lieu, dans la mesure où les constructions et installations que l'art. 68a al. 2 RLATC cite sont "de minime importance", il est clair qu'elles doivent être disposées de façon séparée sur une parcelle, et qu'il n'est pas possible, comme le veulent les recourants, de combiner un cabanon de jardin de 8 m 2 et un couvert à vélos de 6 m 2 . L'interprétation des recourants selon laquelle, s'il est possible d'être dispensé d'autorisation d'installer une cabane de jardin de 8 m 2 et un couvert à vélos de 6 m 2 , on peut être dispensé d'aménager une installation de 14 m 2 est erronée. On pourrait, sinon, en combinant plusieurs installations de ce type, en constituer une très grande susceptible de briser la ligne de vue, par exemple. cc) On relève également qu'il est incongru de prévoir un local à vélos à cet endroit. La structure est en effet située devant la façade Est de la maison, elle n'est proche d'aucun des deux accès aux villas (qui se situent au Nord-Ouest et au Sud-Ouest des villas), et il faut faire le tour de chaque maison pour y accéder et parquer des vélos. dd) Par surabondance, on relèvera qu'aucune autorisation ne pourrait être délivrée pour la structure que les recourants cherchent à maintenir. A ce titre, le règlement communal sur les constructions et l'aménagement du territoire du 5 septembre 1986 de la Commune d'Etagnières ne prévoyant pas de disposition spécifique aux dépendances, il convient donc se référer à l'art. 39 RLATC dont la teneur est la suivante: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Dans l'application du critère du "volume de peu d'importance" au sens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(cf. arrêts AC.2016.0162 du 1 er mai 2017 consid. 5b; AC AC.2015.0307 du 22 novembre 2016 consid. 5b; AC.2015.0122 du 21 avril 2016 consid. 4a; AC.2014.0251 du 14 juillet 2015 consid. 5a; AC.2012.0174 du 6 février 2013 consid. 3c; AC.2010.0346 du 14 mars 2012 consid. 3). S'agissant de l'exigence fixée à l'art. 39 al. 4 RLATC, il résulte de la jurisprudence constante que la condition de l’absence de préjudice pour les voisins ne doit pas être prise au pied de la lettre, mais doit être interprétée en ce sens que l’ouvrage projeté ne doit pas entraîner d’inconvénients appréciables, c’est-à-dire insupportables sans sacrifices excessifs (arrêt AC.2017.0349 du 29 novembre 2018 consid. 14b et les arrêts cités). Cette notion doit être considérée dans le cadre d’une pesée des intérêts contradictoires en présence, à savoir l’intérêt du constructeur à disposer de l’installation prévue et l’intérêt des voisins à se prémunir contre les inconvénients de l’installation litigieuse (TF 1P. 411/1999 du 10 novembre 1999; AC.2017.0349 précité consid. 14b). La municipalité est tenue d’analyser les intérêts respectifs des parties avant de se prononcer sur l’octroi du permis de construire (AC.2017.0349 précité consid. 14b). La notion d'absence d’inconvénients appréciables est un concept juridique indéterminé qui confère à la municipalité une latitude de jugement étendue, que le tribunal se doit de respecter (AC.2017.0349 précité consid. 14b;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AC.2017.0349 précité consid. 14b et les arrêts cités). En l'espèce, la Cour avait déjà tranché, dans l'arrêt AC.2013.0375 que le coefficient d'occupation du sol était déjà dépassé sur la parcelle des recourants. Les dépendances entrant dans le calcul de ce coefficient, la structure litigieuse ne pourrait être autorisée déjà pour ce premier motif. On retiendra également, comme le rappel l'arrêt précité, que les recourants ont multiplié – et continuent à le faire par la présente procédure – les procédés pour surélever et agrandir leurs constructions, ceci en violation du règlement communal. Tout autant qu'à l'époque, il ne se justifierait pas de tolérer une extension supplémentaire de la surface bâtie. En outre, il n'y a pas de doute que la structure en bois, située en surplomb des parcelles avoisinantes, a un impact sur le voisinage qui doit être pris en compte. En effet, il s'agit visuellement – pour une dépendance très proche des villas – d'un ajout important qui altère l'apparence générale des bâtiments, respectivement limite le dégagement que pourraient avoir les parcelles situées au Nord-Est et au Sud-Est de la parcelle des recourants. Pour ce motif également, aucune autorisation ne pourrait être délivrée pour la dépendance désirée. ee) Le tribunal souligne enfin que la présente procédure initiée par les recourants et la propriétaire frise clairement la mauvaise foi. Après toutes les procédures qui ont déjà eu lieu au sujet de cette structure et la décision claire de la cour de céans, leur demande s'apparente en effet plutôt à une tentative de justifier par n'importe quel moyen son maintien (comme l'argument d'installer un local à vélos à cet emplacement inadéquat). 4. Vu ce qui précède, le recours doit être déclaré irrecevable. Les recourants supporteront les frais de justice dès lors qu'ils succombent (cf. art. 49 al. 1, 91 et 99 LPA-VD) et verseront des dépens à la commune, qui a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