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AC.2019.0244 vom 6. August 2019</w:t>
      </w:r>
    </w:p>
    <w:p>
      <w:r>
        <w:t>VD Tribunal cantonal, 2019-08-06, FR</w:t>
      </w:r>
    </w:p>
    <w:p>
      <w:r>
        <w:rPr>
          <w:b/>
        </w:rPr>
        <w:t xml:space="preserve">Quelle: </w:t>
      </w:r>
      <w:r>
        <w:t>https://mcp.opencaselaw.ch/entscheid/vd_omni_AC.2019.0244</w:t>
      </w:r>
    </w:p>
    <w:p>
      <w:r>
        <w:t>FR: VD_OMNI AC.2019.0244 du 6 août 2019</w:t>
      </w:r>
    </w:p>
    <w:p>
      <w:r>
        <w:t>IT: VD_OMNI AC.2019.0244 del 6 agosto 2019</w:t>
      </w:r>
    </w:p>
    <w:p>
      <w:pPr>
        <w:pStyle w:val="Heading2"/>
      </w:pPr>
      <w:r>
        <w:t>Regeste</w:t>
      </w:r>
    </w:p>
    <w:p>
      <w:r>
        <w:t>A.________, B.________, C.________, D.________, E._______/Municipalité d'Ormont-Dessus, F.________, G.________, HELVETIA NOSTRA | Par arrêt du 6 août 2019 (1C_257/2018), le Tribunal fédéral a admis le recours de voisins contre l'arrêt de la CDAP du 26 avril 2018 (AC.2017.0286) rejetant les recours de ces voisins et d'Helvetia Nostra contre la décision de la municipalité levant leurs oppositions et octroyant le permis de construire deux chalets de quatre appartements chacun, annulé l'arrêt cantonal attaqué et renvoyé la cause à la CDAP pour nouvelle décision dans le sens des considérants. - Compte tenu de l'instruction complémentaire à laquelle il a été procédé et malgré la production d'un rapport d'expertise privée émanant d'une société active dans le domaine de l'immobilier mandatée par les constructeurs et la commune, le permis de construire octroyé par la municipalité ne peut être confirmé. Il apparaît en effet, au vu de l'offre, qu'il n'y a aucune demande en résidences principales qui ne puisse être satisfaite actuellement, y compris pour le type de logements, soit abordables pour la population locale, proposés par les constructeurs, sachant en outre que la population n'a que faiblement augmenté ces dernières années. Il n'a par ailleurs pas été établi à satisfaction que la mise sur le marché du projet à des conditions financières plus avantageuses que ce que propose le marché actuel des résidences secondaires est réaliste. - Autoriser la construction des deux chalets litigieux alors qu'il n'est pas vraisemblable que les logements seront en définitive occupés comme résidences principales apparaîtrait contraire aux objectifs constitutionnels et légaux. Recours des voisins admis et annulation des décisions rendues à leur encontre et de celle octroyant le permis de construire. Recours au TF admis et arrêt attaqué réformé en ce sens que les décisions du 23 juin 2017 par lesquelles la Municipalité d'Ormont-Dessus a levé les oppositions et délivré le permis de construire sont confirmées (arrêt 1C_242/2021 du 19 août 2022). Arrêt du TF du 23 février 2023 (1G_1/2023) rectifiant son arrêt du 19</w:t>
      </w:r>
    </w:p>
    <w:p>
      <w:pPr>
        <w:pStyle w:val="Heading2"/>
      </w:pPr>
      <w:r>
        <w:t>Erwägungen</w:t>
      </w:r>
    </w:p>
    <w:p>
      <w:r>
        <w:rPr>
          <w:b/>
        </w:rPr>
        <w:t>E. 1</w:t>
      </w:r>
    </w:p>
    <w:p>
      <w:r>
        <w:t>Les recourants relèvent que ce serait le syndic de la commune, par le biais de son agence immobilière, qui aurait procédé à la vente de la parcelle n° 2050 litigieuse au H.________. Le conflit d’intérêt serait ainsi manifeste et il serait inacceptable que le syndic ne se soit pas spontanément récusé dans ce dossier. Les recourants font ainsi valoir que, si le dossier devait être renvoyé à la municipalité, le syndic devrait se récuser. Aux termes de l’art. 9 al. 1 de la loi vaudoise du 28 octobre 2008 sur la procédure administrative (LPA-VD; BLV 173.36),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Dès lors en l’occurrence que le dossier n’a finalement pas été renvoyé à la municipalité pour nouvelle décision, la requête des recourants est sans objet.</w:t>
      </w:r>
    </w:p>
    <w:p>
      <w:r>
        <w:rPr>
          <w:b/>
        </w:rPr>
        <w:t>E. 2</w:t>
      </w:r>
    </w:p>
    <w:p>
      <w:r>
        <w:t>Il incombe à la Cour de céans de rendre une nouvelle décision dans la présente cause conformément au ch. 1 du dispositif de l'arrêt du Tribunal fédéral. a) Il résulte de la loi fédérale du 17 juin 2005 sur le Tribunal fédéral (LTF; RS 173.110) que l'autorité à laquelle la cause est renvoyée par le Tribunal fédéral, en application de l'art. 107 al. 2 LTF,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 e éd. Berne 2014, n. 27 ad art. 107, avec notamment une référence à l'ATF 135 III 334; cf. aussi arrêts AC.2016.0246 du 7 août 2019 consid. 1; AC.2018.0206 du 12 avril 2019 consid. 1; AC.2016.0417 du 20 décembre 2016 consid. 1). b) En l'occurrence, il ressort des considérants de l'arrêt de renvoi (consid. 3.2 et 4) que, selon le Tribunal fédéral, il n’y a tout d’abord pas lieu de remettre en cause l’appréciation de la cour cantonale selon laquelle, quant à leur aménagement, les logements litigieux se prêteraient à de la résidence principale. Il a ensuite jugé que, quant aux prix proposés dans le projet de construction, il n’apparaissait pas arbitraire de constater que le marché de la résidence secondaire connaîtrait des prix plus élevés que celui de la résidence principale. Il serait par ailleurs vain d’exiger des constructeurs qu’ils produisent une liste de locataires intéressés à louer les logements concernés dès lors qu’on ne saurait concevoir que d’éventuels locataires s’engagent à prendre un bien à telle échéance. Sachant que le but est en l’occurrence de favoriser une catégorie de logements principaux abordables pour la population locale, le Tribunal fédéral a en revanche considéré qu’il appartiendrait à la cour cantonale d’examiner si une plus ample instruction permettait d’expliquer la faible augmentation de la population locale en dépit des nombreuses nouvelles résidences principales réalisées. Cas échéant, il y aurait également lieu de s’assurer que la mise sur le marché du projet à des conditions financières plus avantageuses que ce que propose le marché actuel des résidences secondaires est réaliste.</w:t>
      </w:r>
    </w:p>
    <w:p>
      <w:r>
        <w:rPr>
          <w:b/>
        </w:rPr>
        <w:t>E. 2.2</w:t>
      </w:r>
    </w:p>
    <w:p>
      <w:r>
        <w:t>p. 52; 142 II 206 consid. 2.3 p. 210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p. 52; 142 II 206 consid. 2.5 p. 210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p. 52; arrêts TF 1C_149/2020 du 8 décembre 2020 consid. 4.1; 1C_598/2019 du 19 juin 2020 consid. 3.1.3).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(ATF 144 II 49 consid. 2.2 p. 52 s.; arrêts TF 1C_149/2020 du 8 décembre 2020 consid. 4.1; 1C_598/2019 du 19 juin 2020 consid. 3.1.3). Dans ce cadre, l'autorité doit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géographique (ATF 145 II 99 consid. 3.1 p. 101; 144 II 49 consid. 2.2 p. 53). L'introduction, depuis le 1 er janvier 2016, de l' art. 14 LRS prévoyant la suspension de la restriction d'utilisation lorsque celle-ci ne peut temporairement pas être respectée en raison de circonstances particulières telles que décès, changement de domicile ou changement d'état civil, renforce le risque de détournement de l'objectif de la disposition constitutionnelle.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(cf ATF 145 II 99 consid. 3.1 p. 101; 144 II 49 consid. 2.3 p. 53; arrêt TF 1C_309/2019, 1C_310/2019 du</w:t>
      </w:r>
    </w:p>
    <w:p>
      <w:r>
        <w:rPr>
          <w:b/>
        </w:rPr>
        <w:t>E. 2.5</w:t>
      </w:r>
    </w:p>
    <w:p>
      <w:r>
        <w:t>59 1'000.- 311'400.- Appartement Combles 4.5 126 2'050.- 619'600.- b) aa) Dans son rapport (ch. 1.1 p. 4), J.________ relève qu’" il est possible d’affirmer que non seulement les loyers envisagés devraient être « praticables », car supportables par une majorité des principaux types de ménages de la classe moyenne, mais ils devraient même représenter un bon rapport qualité / prix puisque les surfaces proposées pour ces charges annuelles sont supérieures aux limites préconisées pour des LLA ". Il ajoute que " les conclusions du point précédent seraient ainsi aussi valables si les logements étaient proposés à la vente ". Une telle appréciation établit la praticabilité des prix projetés du côté des locataires et des acheteurs, mais pas du côté des constructeurs, élément pourtant déterminant en l’occurrence. Il s’agit en effet, ainsi que l’a exigé le Tribunal fédéral (1C_257/2018 du 6 août 2019 consid. 4) de s’assurer que la mise sur le marché du projet à des conditions financières plus avantageuses que ce que propose le marché actuel des résidences secondaires est réaliste. Or, "réaliste" implique que ça le soit pour les constructeurs. Toutefois, dans son rapport, J.________ ne se prononce pas sur cette question; il se contente de procéder, ainsi qu’il l’indique lui-même, à l’analyse de l’offre et de la demande de logements en résidence principale aux Diablerets. bb) Les constructeurs ont produit, à la suite de l’arrêt du Tribunal fédéral, un plan financier estimatif daté du 20 avril 2017 pour la construction d’un chalet, montant qu’il convient, ainsi qu’ils l’indiquent, de multiplier dès lors par deux. Il en ressort que, selon le " total commande ", le prix de revient de la construction d’un chalet s’élèverait à 1'591'270 fr., terrain compris, soit un total de 3'182'540 fr. pour les deux chalets. Avec un prix de vente total projeté par les constructeurs de 3'829'800 fr. pour les huit appartements, ces derniers pourraient en retirer un bénéfice de 647'260 fr. On ne sait en revanche pas dans quelle mesure les loyers prévus permettraient aux intéressés de couvrir effectivement les coûts de réalisation des deux chalets. De plus, les constructeurs ont certes produit un plan financier estimatif détaillé des coûts des travaux. Ces indications se fondent cependant toujours sur leurs seules déclarations, ce que le Tribunal fédéral a considéré comme insuffisant (1C_257/2018 du 6 août 2019 consid. 3.2). Ils ont certes proposé de produire toutes pièces utiles et nécessaires s’agissant des devis qui permettraient la réalisation des deux chalets. Un tel élément est toutefois insuffisant. Un plan financier précis du projet validé par la banque des constructeurs serait par exemple susceptible de s’assurer du fait que les prix articulés par ces derniers sont financièrement tenables. Les constructeurs n’ont pas non plus produit notamment une analyse au niveau des prix, de la part de spécialistes, de la conjoncture du marché immobilier aux Diablerets, ce à quoi ne se réfère en particulier pas le rapport de J.________. Ils se contentent ainsi toujours d’apporter leurs propres explications et estimations financières quant au fait que la mise sur le marché du projet à des conditions financières plus avantageuses que ce que propose le marché actuel des résidences secondaires serait réaliste. En l’absence d’une confirmation par des tiers spécialistes en la matière de l’appréciation financière du projet telle qu’effectuée par les constructeurs, il reste toujours impossible d’établir que la mise sur le marché des logements prévus peut effectivement se faire aux prix annoncés. Dans le cadre de la présente procédure, il était à tout moment loisible aux constructeurs de produire tout document de ce type, ce qu’ils n’ont pas fait. cc) Enfin, à supposer qu’il ait été établi que la mise sur le marché du projet aux conditions financières plus avantageuses proposées par les constructeurs serait réaliste, il n’en resterait pas moins que, conformément à ce qui précède (cf. supra consid. 6), il demeure manifeste qu’il n’y a aucune demande portant sur des logements en résidence principale du type de ceux projetés qui ne puisse être satisfaite actuellement. Pour ce motif déjà, et conformément aux exigences posées par le Tribunal fédéral quant aux compléments d’instruction qu’il a requis, le permis de construire litigieux ne peut de toute manière être octroyé. A noter que la nécessité d’établir l’aspect réaliste de la réalisation financière du projet se justifie pleinement. En effet, à l’instar de ce que relèvent les recourants, il serait dans le cas contraire aisé de démontrer l’existence d’une demande en partant de l’hypothèse (financièrement irréaliste) d’une location ou d’un achat pour un montant très bas.</w:t>
      </w:r>
    </w:p>
    <w:p>
      <w:r>
        <w:rPr>
          <w:b/>
        </w:rPr>
        <w:t>E. 3</w:t>
      </w:r>
    </w:p>
    <w:p>
      <w:r>
        <w:t>L' art. 75b Cst. , repris à l' art. 6 de la loi fédérale du 20 mars 2015 sur les résidences secondaires (LRS; RS 702) ,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(ATF 144 II 49 consid. 2 p. 51 et les références citées; cf. aussi TF 1C_149/2020 du 8 décembre 2020 consid. 4.1). L' art. 7 al. 1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 art. 2 al. 3 LRS (let. a) ou comme logement affecté à l'hébergement touristique (let.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p. 51 s.; 142 II 206 consid.</w:t>
      </w:r>
    </w:p>
    <w:p>
      <w:r>
        <w:rPr>
          <w:b/>
        </w:rPr>
        <w:t>E. 3.5</w:t>
      </w:r>
    </w:p>
    <w:p>
      <w:r>
        <w:t>74.50 1'250.- 382'700.- Appartement 1 er étage</w:t>
      </w:r>
    </w:p>
    <w:p>
      <w:r>
        <w:rPr>
          <w:b/>
        </w:rPr>
        <w:t>E. 8</w:t>
      </w:r>
    </w:p>
    <w:p>
      <w:r>
        <w:t>Au vu de ce qui précède, et compte tenu de l’instruction complémentaire à laquelle il a été procédé, le permis de construire octroyé par la municipalité le 12 juin 2017 ne peut être confirmé. Il est en effet manifeste, au vu en particulier de la conjoncture du marché des résidences principales neuves de ces dernières années, du taux de vacance des logements du district d’Aigle et de celui des logements de la commune d’Ormont-Dessus ainsi que du nombre de logements vacants dont cette dernière disposait au 1 er juin 2020, qu’il n’y a aucune demande qui ne puisse être satisfaite actuellement, y compris pour le type de logements proposés par les constructeurs, sachant en outre que la population n’a augmenté que de douze personnes entre 2013 et 2016 et même pas du tout entre 2013 et novembre 2017, puis n’a augmenté que de vingt habitants entre 2017 et 2020. Il n’a en outre pas été établi à satisfaction que la mise sur le marché du projet à des conditions financières plus avantageuses que ce que propose le marché actuel des résidences secondaires est réaliste. Autoriser la construction des deux chalets litigieux alors qu’il n’est pas vraisemblable que les logements seront en définitive occupés comme résidences principales apparaîtrait manifestement contraire aux objectifs constitutionnels et légaux.</w:t>
      </w:r>
    </w:p>
    <w:p>
      <w:r>
        <w:rPr>
          <w:b/>
        </w:rPr>
        <w:t>E. 9</w:t>
      </w:r>
    </w:p>
    <w:p>
      <w:r>
        <w:t>Vu les considérants qui précèdent, le recours déposé par A.________ et consorts doit être admis et les décisions de la municipalité rendues le 23 juin 2017 à leur encontre ainsi que le permis de construire octroyé le 12 juin 2017 par la municipalité aux constructeurs annulés. Compte tenu de l’issue de la cause, des frais seront mis à la charge des constructeurs, qui succombent (art. 49 al. 1, 91 et 99 LPA-VD). Quant aux dépens, l'art. 55 LPA-VD prévoit que la partie qui obtient totalement ou partiellement gain de cause a droit à une indemnité à titre de dépens en remboursement des frais qu'elle a engagés pour défendre ses intérêts. Cette indemnité est mise à la charge de la partie qui succombe (art. 55 al. 2 LPA-VD).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(AC.2016.0086 du 15 mai 2019 consid. 3c, et les références citées). Les recourants A.________ et consorts, qui obtiennent gain de cause en ayant procédé par l’intermédiaire d’un mandataire professionnel, ont ainsi droit à des dépens, mis à la charge des constructeurs. Helvetia Nostra quant à elle a certes également agi par l’intermédiaire d’un mandataire professionnel. Elle n’a toutefois pas contesté l’arrêt initial (AC.2017.0286) devant le Tribunal fédéral et, si elle est intervenue à plusieurs reprises, elle ne l’a fait à chaque fois que brièvement. Il se justifie dès lors de lui allouer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