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AC.2019.0236 vom 4. August 2020</w:t>
      </w:r>
    </w:p>
    <w:p>
      <w:r>
        <w:t>VD Tribunal cantonal, 2020-08-04, FR</w:t>
      </w:r>
    </w:p>
    <w:p>
      <w:r>
        <w:rPr>
          <w:b/>
        </w:rPr>
        <w:t xml:space="preserve">Quelle: </w:t>
      </w:r>
      <w:r>
        <w:t>https://mcp.opencaselaw.ch/entscheid/vd_omni_AC.2019.0236</w:t>
      </w:r>
    </w:p>
    <w:p>
      <w:r>
        <w:t>FR: VD_OMNI AC.2019.0236 du 4 août 2020</w:t>
      </w:r>
    </w:p>
    <w:p>
      <w:r>
        <w:t>IT: VD_OMNI AC.2019.0236 del 4 agosto 2020</w:t>
      </w:r>
    </w:p>
    <w:p>
      <w:pPr>
        <w:pStyle w:val="Heading2"/>
      </w:pPr>
      <w:r>
        <w:t>Regeste</w:t>
      </w:r>
    </w:p>
    <w:p>
      <w:r>
        <w:t>A.________, B.________ /Municipalité de Genolier, C.________, D.________ | Rejet du recours de voisins contre un permis de construire en particulier un garage proche de la limite de propriété. En l'espèce, le garage litigieux, d'une surface d'environ 25 m2, reste modeste et conforme à la notion de dépendance au sens de l'art. 39 RLATC. Il n'entraînera pas de préjudice tel qu'il puisse être qualifié d'excessif. Il est en conformité avec le règlement communal. Il est en harmonie avec le style des constructions du quartier et est admissible au regard des dispositions cantonales et communales sur l'esthétique et l'intégration des constructions. Pas d'inégalité de traitement.</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 Les recourants ont qualité pour recourir en leur qualité de voisins directs de la construction litigieuse.</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Les recourants se réfèrent ensuite au principe de l'égalité de traitement. On comprend qu'ils estiment que la municipalité aurait par le passé, veillé à faire appliquer et respecter les articles du RPPA à toutes les constructions du quartier sises en bordure de la zone agricole en exigeant un garage côté nord afin de ne pas obstruer la vue sur le lac Léman. En octroyant le permis de construire un garage du côté sud-ouest, elle aurait ainsi traité la parcelle n° 987 de manière différente, ce sans aucune justification objective en violant le principe de l'égalité de traitement et sans que l'on puisse parler de changement de pratique dans ces circonstances.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137 I 167 consid. 3.4 p. 175; 136 II 120 consid. 3.3.2 p. 127).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 cit.). b) En l'espèce, et à l'occasion de l'inspection locale, la municipalité a précisé qu'elle n'avait jamais eu à intervenir concernant les constructions des dépendances du quartier: leurs emplacements respectifs ont été le choix des propriétaires eux-mêmes et aucun projet n'a dû être modifié en raison d'une demande de la commune à ce sujet. Il n'y a ainsi eu aucune exigence particulière de la part de la commune concernant le positionnement d'un garage ou d'une dépendance dans la mesure où le RPPA ou RPEPC étaient respecté. Aucune dérogation ni aucune différence de traitement n'ont été accordées sur ces questions. Les recourants ne sauraient dès lors comparer le projet litigieux à ces bâtiments pour se prévaloir d'une inégalité de traitement et le tribunal n'a aucun élément lui permettant de retenir que des distinctions injustifiées auraient été opérées entre les constructions. Le grief des recourants doit donc également être écarté sur ce point.</w:t>
      </w:r>
    </w:p>
    <w:p>
      <w:r>
        <w:rPr>
          <w:b/>
        </w:rPr>
        <w:t>E. 5</w:t>
      </w:r>
    </w:p>
    <w:p>
      <w:r>
        <w:t>Il résulte des considérants qui précèdent que le recours, entièrement mal fondé, doit être rejeté, ce qui entraîne la confirmation de la décision attaquée. Les recourants, qui succombent, supportent les frais de justice, ainsi que des dépens à la Commune de Genolier, qui a procédé avec l'assistance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