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AC.2019.0184 vom 8. Januar 2020</w:t>
      </w:r>
    </w:p>
    <w:p>
      <w:r>
        <w:t>VD Tribunal cantonal, 2020-01-08, FR</w:t>
      </w:r>
    </w:p>
    <w:p>
      <w:r>
        <w:rPr>
          <w:b/>
        </w:rPr>
        <w:t xml:space="preserve">Quelle: </w:t>
      </w:r>
      <w:r>
        <w:t>https://mcp.opencaselaw.ch/entscheid/vd_omni_AC.2019.0184</w:t>
      </w:r>
    </w:p>
    <w:p>
      <w:r>
        <w:t>FR: VD_OMNI AC.2019.0184 du 8 janvier 2020</w:t>
      </w:r>
    </w:p>
    <w:p>
      <w:r>
        <w:t>IT: VD_OMNI AC.2019.0184 del 8 gennaio 2020</w:t>
      </w:r>
    </w:p>
    <w:p>
      <w:pPr>
        <w:pStyle w:val="Heading2"/>
      </w:pPr>
      <w:r>
        <w:t>Regeste</w:t>
      </w:r>
    </w:p>
    <w:p>
      <w:r>
        <w:t>A.________, B.________, C.________/Municipalité de Bassins, D.________, E.________ | Recours contre une décision communale autorisant la rénovation d'un bâtiment avec création de 6 appartements, d'une surface commerciale et de 11 places de parc. - Qualité pour recourir niée pour deux recourants dont la parcelle se trouve à une distance de 1 km, respectivement 300 m, et ne faisant pas valoir d'intérêt digne de protection à l'annulation de la décision. Admission de la qualité pour agir du troisième recourant, domicilié à 25 m de la parcelle litigieuse (consid. 1). - Modification des plans en cours de projet et absence de plans relatifs au parking. Il n'est pas exclu que les mesures constructives nécessaires soient de nature à justifier une enquête complémentaire. Grief admis (consid. 3). - Grief relatif au CUS. Rappel de jurisprudence sur les notions d'agrandissement et de reconstruction. Vu l'importance des transformations prévues (abaissement du niveau du rez-de-chaussée, modification complète des ouvertures sur les deux seules façades conservées, démolition et reconstruction complète des intérieurs avec modification des hauteurs d'étages, rehaussement de la toiture) il semble s'agir ici d'une reconstruction au sens de l'art. 80 LATC. Question laissée ouverte. Qu'il s'agisse d'un agrandissement ou d'une reconstruction, le CUS ne serait pas respecté (consid. 3). - Nombre de places de parc. Question de l'application des normes VSS nonobstant une règlementation communale contraire laissée ouverte, dès lors que le projet devra être revu dans le sens d'une réduction, avec une baisse probable du nombre de places de stationnement. la Municipalité devra vérifier le nombre de places nécessaires liées aux activités commerciales prévues et examiner la question d'une éventuelle taxe compensatoire si l'aménagement de l'ensemble des places de stationnement nécessaires sur la parcelle s'avérait impossible (consid. 4). Admission du recours.</w:t>
      </w:r>
    </w:p>
    <w:p>
      <w:pPr>
        <w:pStyle w:val="Heading2"/>
      </w:pPr>
      <w:r>
        <w:t>Erwägungen</w:t>
      </w:r>
    </w:p>
    <w:p>
      <w:r>
        <w:rPr>
          <w:b/>
        </w:rPr>
        <w:t>E. 1</w:t>
      </w:r>
    </w:p>
    <w:p>
      <w:r>
        <w:t>La qualité pour recourir des recourants est contestée. a) L’art. 75 al. 1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al. 1 let. a LPA-VD exige un intérêt digne de protection à l’annulation ou à la modification de la décision attaquée (cf. également art. 89 al. 1 let. c LTF; AC.2010.0046 du 17 janvier 2011 consid. 1 et les références citées). Ainsi, p 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Dans le domaine des constructions, le voisin a qualité pour agir lorsque son terrain jouxte celui du constructeur ou se trouve à sa proximité immédiate (ATF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TF 1A.179/1996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(cf. AC.2018.0156 du 21 mars 2019 consid. 1b et les références citées). c) En l'occurrence, le recourant A.________ est domicilié à une distance de 300 m environ de la parcelle litigieuse. B.________ est quant à lui domicilié à une distance d'environ 1 km de la parcelle. Faute d'une proximité suffisante avec la parcelle concernée, ces deux recourants ne démontrent pas être touchés par le projet litigieux dans une mesure et avec une intensité plus grandes que la généralité des administrés. Le projet contesté concerne la construction d'un bâtiment relativement éloigné de leurs parcelles respectives et ils n'allèguent ni ne démontrent que ce projet serait susceptible de leur occasionner des nuisances, nonobstant la distance par rapport à leurs parcelles. Leur qualité pour recourir doit en conséquence être niée. Quant au recourant C.________, il est voisin direct de la parcelle sur laquelle est prévue le projet litigieux, dès lors qu'il habite à une distance de l'ordre de 25 m de la parcelle n° 140. Le Tribunal a pu constater en audience que cette parcelle est visible depuis la maison du recourant. Force est ainsi de constater qu'il dispose de la qualité pour recourir, de sorte qu'il convient d'entrer en matière sur le fond.</w:t>
      </w:r>
    </w:p>
    <w:p>
      <w:r>
        <w:rPr>
          <w:b/>
        </w:rPr>
        <w:t>E. 2</w:t>
      </w:r>
    </w:p>
    <w:p>
      <w:r>
        <w:t>Les recourants estiment, compte tenu de la modification des plans au dossier, que le projet aurait dû être soumis à une enquête publique complémentaire. a) La procédure de mise à l’enquête publique, prévue à l'art. 109 de la loi du 4 décembre 1985 sur l'aménagement du territoire et les constructions (LATC; BLV 700.11), possède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(AC.2017.0410 du 26 juin 2018 consid. 1b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(AC.2018.0364 du 22 mai 2019; AC.2017.0280 du 14 janvier 2019 consid. 2a et les références citées). Le droit cantonal permet à la municipalité, lorsqu'elle délivre un permis de construire, d'imposer au constructeur des modifications de minime importance (art. 117 LATC). Elles sont de minime importance si elles portent sur des points de détail ou secondaires. En particulier lorsqu'elles vont dans le sens des griefs des opposants, de telles modifications ne nécessitent pas une mise à l'enquête complémentaire. Dans un tel cas toutefois, le dossier devrait comprendre un descriptif clair des changements autorisés par le permis de construire (cf. AC.2018.0157 du 21 mars 2019; AC.2017.0044 du 13 septembre 2018 consid. 3 et les références citées). b) En l'occurrence, le dossier produit par la Municipalité comporte deux jeux de plans: le premier est daté du 29 juin 2018, avec des modifications au 20 mars 2019 et porte un numéro de référence 29674B. Il est estampillé "annulé". Le second jeu est daté du 8 juillet 2019 et ne comporte aucune référence. Il ressort des explications de la Municipalité en audience que c'est ce second jeu de plans qui a été approuvé par la Municipalité et qui fait foi. Les modifications apportées par rapport aux plans mis à l'enquête seraient la forme de la toiture, ainsi que la pente d'une rampe entre le parking et l'entrée sur la façade sud-est. Cela étant, ces deux jeux de plans sont postérieurs à l'enquête publique du 20 novembre au 20 décembre 2018; les plans de juillet 2018 sont même postérieurs aux décisions contestées. Le permis de construire renvoie expressément aux plans n° 29674B, sans toutefois en préciser la date. Or le jeu de plans au dossier qui porte cette référence est aussi estampillé " annulé ". Il conviendrait donc en tout état de réformer la décision contestée pour préciser que les plans approuvés par la Municipalité sont bien ceux du 8 juillet 2019, qui ne comportent pas cette référence. Quoi qu'il en soit, aucun de ces jeux de plans, en particulier les coupes, ne figure la modification requise par la Municipalité d'aménager un parking enterré ou couvert. Bien que des explications aient été fournies à cet égard en audience, le Tribunal n'est pas en mesure de se déterminer sur ce parking, à défaut de plans, en particulier une coupe montrant le parking couvert et son inscription dans le terrain. Il n'est pas exclu que les mesures constructives nécessaires soient de nature à éventuellement justifier une enquête complémentaire. Ce grief est en conséquence admis.</w:t>
      </w:r>
    </w:p>
    <w:p>
      <w:r>
        <w:rPr>
          <w:b/>
        </w:rPr>
        <w:t>E. 3</w:t>
      </w:r>
    </w:p>
    <w:p>
      <w:r>
        <w:t>Les recourants invoquent une violation des règles sur le CUS, dès lors que le CUS après travaux serait de 0.95 alors que l'art. 5.9 RCAT prévoit qu'en zone de village, la surface brute de plancher affectée à la réalisation de logements, dans les bâtiments nouveaux, est limitée par l'application d'un CUS fixé à 0.4, étant précisé que cette règle s'applique par analogie lors de transformations importantes ou changements de destination de bâtiments ou groupes de bâtiments existants comportant l'aménagement de plus de cinq logements au total. La Municipalité se réfère à l'art. 4.1 RCAT. Cette disposition prévoit ce qui suit: "Dans les zones à bâtir, les bâtiments existants peuvent être transformés et changer d'affectation dans la mesure où les travaux projetés sont compatibles avec la destination de la zone. Les volumes bâtis peuvent être utilisés dans leur intégralité. Les bâtiments existants peuvent aussi être agrandis, pour autant que par lui-même, l'agrandissement soit conforme aux dispositions du présent réglement." La Municipalité se réfère également à l'art. 80 LATC relatif aux transformations de bâtiments existants non conformes aux règles de la zone à bâtir. Elle estime qu'il s'agit ici d'une transformation et non d'une reconstruction. a)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travaux d'entretien et de réparation consistent en des travaux de rénovation (toitures, façades, fenêtres) et de modernisation (nouvelle installation de chauffage, équipements sanitaires). Il importe de ne pas modifier la structure existante ou de le faire de façon très peu importante, l'aspect, la distribution et la destination de la construction restant inchangés (AC.2006.0151 du 18 mars 2008 consid. 2d/aa; AC.2006.0157 du 26 avril 2007 consid. 3a, et la référence citée). La transformation est l’opération qui modifie la répartition intérieure des volumes construits ou l’affectation de tout ou partie de ses volumes, sans que le gabarit de l’ouvrage ne soit augmenté et sans que, en elle-même, l’affectation de nouveaux locaux ne soit contraire à la réglementation communale (AC.2016.0017 du 3 novembre 2016 consid. 2). Constitue un agrandissement toute augmentation du volume extérieur de la construction ou toute adjonction d'éléments extérieurs nouveaux tels qu'un balcon (AC.2017.0296, AC.2017.0297 du 23 octobre 2018 consid. 5c/aa, et les références citées).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(AC.2018.0043 du 25 octobre 2018 et les références citées). Ainsi, s’il ne subsiste plus du bâtiment existant qu’un pan de mur au rez-de-chaussée, il s’agit d’une reconstruction, peu importe les raisons qui ont conduit à la destruction de la plupart des murs et des paliers intermédiaires (AC.2012.0200 du 7 mai 2013 et les références citées). Il a été notamment considéré que la reconstruction de trois murs de façade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équivalent à une véritable reconstruction (RDAF 1970 p. 347). En revanche, le Tribunal a qualifié de transformation, précisant qu’il s’agit d’un cas limite, des travaux qui, n'ayant pas touché la structure porteuse du bâtiment, n’ont pas porté atteinte aux parties essentielles de l’édifice, même si les murs porteurs des façades nord et sud ont été partiellement détruits (cf. AC.2008.0009 du 4 novembre 2008). Le Tribunal a considéré, dans le cas d'un projet impliquant la démolition de l'essentiel du bâtiment existant et son remplacement par un nouveau bâtiment, que bien que les plans indiquent le maintien de quelques pans de mur, on se trouvait en présence d'une reconstruction (AC.2016.0017 précité; AC.2014.0288 du 16 juillet 2015 consid. 4b). Plus récemment, le Tribunal a admis au titre de transformation, un projet de construction qui ne laissait en définitive subsister qu'une façade entière du bâtiment, deux angles et une partie de deux autres façades. Précisant qu'il s'agissait d'un cas limite, le Tribunal a considéré que la façade maintenue était celle qui était la plus importante puisqu'elle conférait au bâtiment son identité avec plusieurs décrochements et une porte avec une voûte qui serait conservée (AC.2018.0043 précité). L'art. 80 LATC n'exclut pas tous les inconvénients que peut entraîner pour le voisinage la transformation ou l'agrandissement d'un bâtiment non réglementaire; elle prohibe seulement l'aggravation des inconvénients qui sont en relation avec l'atteinte à la réglementation (TF 1C_43/2009 du 5 mai 2009 consid. 4; AC.2018.0079 du 4 septembre 2018 consid. 4b; AC.2017.0222 du 19 avril 2018 consid. 2b; AC.2017.0017 du 19 octobre 2017 consid. 5c/aa). Pour déterminer si l'on se trouve en présence d'une aggravation de l'atteinte au sens de l'art. 80 al. 2 LATC, il convient de rechercher le but que poursuit la norme transgressée (AC.2018.0079 précité consid. 4b; AC.2017.0222 précité consid. 2b; AC.2017.0017 précité consid. 5c/aa; Bovay et al., Droit fédéral et vaudois de la construction, 4ème éd., Bâle 2010, ch. 6.3 ad art. 80 LATC). Les inconvénients dont cette disposition vise à protéger le voisinage se définissent de la même manière que dans le cadre de l'art. 39 du règlement du 19 septembre 1986 d'application de la LATC (RLATC; BLV 700.11.1) concernant les dépendances: ils doivent dépasser ce qui est supportable sans sacrifice excessif (AC.2018.0079 précité consid. 4b; AC.2017.0222 précité consid. 2b; AC.2017.0017 précité consid. 5c/aa). Selon la jurisprudence, tout projet de modification ayant pour effet de porter, peu ou prou, atteinte à la réglementation doit par conséquent être proscrit (AC.2018.0079 précité consid. 4b; AC.2008.0026 du 24 février 2009 consid. 3; AC.2004.0104 du 8 décembre 2004 consid. 2c/aa). b) Dans un arrêt du 29 mai 2012 (AC.2011.0200 consid. 1) concernant un projet de construction dans la Commune de Bassins, le Tribunal a considéré que l'art. 4.1 RCAT prévoyait en quelque sorte une dérogation au respect du CUS prévu à l'art. 5.9 RCAT, en ce sens que les volumes existants pouvaient être utilisés dans leur intégralité, c'est-à-dire sans limitation par rapport à un coefficient d'utilisation du sol, pour autant que les travaux s'intègrent dans le volume existant. En revanche, toute surface utile de plancher comprise dans les agrandissements du volume devait être prise en compte dans le calcul du CUS et respecter la règle de l'art. 5.9 RCAT. La conformité de l'agrandissement par rapport au CUS ne devait pas être examinée par rapport aux seules surfaces de plancher habitables prévues par l'agrandissement, mais bien par rapport à l'ensemble des surfaces de plancher de la construction existante transformée, pour éviter une aggravation de la situation non réglementaire, contraire à l'art. 80 al. 2 LATC (sur la relation entre ce type de disposition et l'art. 80 LATC cf. notamment AC.2017.0043 du 28 mai 2018 consid. 5). c) En l'occurrence, il est douteux que les travaux litigieux puissent être qualifiés de simples transformations avec agrandissement au sens de l'art. 80 LATC. Il ressort en effet des plans au dossier que si trois murs vont être maintenus, l'un n'est pas une façade mais le mur mitoyen avec le bâtiment sis sur la parcelle voisine. Il ressort par ailleurs des différentes coupes que le projet prévoit d'abaisser le niveau du rez-de-chaussée, ce qui amène le Tribunal à émettre des doutes quant au réalisme du maintien effectif des façades existantes. Sur les deux façades conservées, les ouvertures vont être complètement modifiées. En façade nord, côté place de la Tillette et centre du village, les portes voûtées caractéristiques du village disparaissent pour être remplacées par des petites ouvertures destinées avant tout à éclairer des salles de bains. Enfin, l'intérieur du bâtiment est entièrement démoli et reconstruit, pour permettre notamment l'adaptation des hauteurs d'étage. La toiture est rehaussée, en particulier le faîte, permettant l'aménagement d'un niveau dans les combles. A la lumière de tous ces éléments, il apparaît bien plutôt qu'il s'agit ici d'une reconstruction au sens de l'art. 80 LATC. Dans ces circonstances le CUS réglementaire de l'art. 5.9 ne serait pas respecté. Cette question peut en définitive souffrir de rester indécise, car même en admettant avec la Municipalité que l'on soit en présence d'une simple transformation avec agrandissement, le projet n'est pas conforme aux art. 4.1 al. 2 et 5.9 RCAT. En effet, comme le Tribunal l'a relevé déjà en 2012 (AC.2011.0200 précité), la conformité de l'agrandissement par rapport au CUS ne doit pas être examinée par rapport aux seules surfaces de plancher habitables prévues par l'agrandissement, mais bien par rapport à l'ensemble des surfaces de plancher de la construction existante transformée. Or il ressort de la demande de permis de construire que la surface brute utile des planchers (SBPU) existant est de 626 m 2 . L'agrandissement prévu de cette surface est de 219 m 2 , ce qui aboutit à une surface totale de plancher habitable de 845 m 2 . Or le CUS réglementaire selon l'art. 5.9 autorise en principe une SBPU de 354.80 m 2 qui correspond à 0.4 de la surface totale de la parcelle (887 m 2 ). Ce CUS est donc d'ores et déjà atteint par l'utilisation de l'ensemble de la SBPU existante (626 m 2 ), étant rappelé qu'un agrandissement dans ce volume est expressément autorisé par l'art. 4.1 al. 1 RCAT. Il n'y a en revanche pas de place pour un agrandissement supplémentaire qui contrevient ainsi aux art. 80 al. 2 LATC et 4.1 al. 2 RCAT. Ce grief est en conséquence admis.</w:t>
      </w:r>
    </w:p>
    <w:p>
      <w:r>
        <w:rPr>
          <w:b/>
        </w:rPr>
        <w:t>E. 4</w:t>
      </w:r>
    </w:p>
    <w:p>
      <w:r>
        <w:t>(nouv. 1993) S'agissant d'un terrain en zone village et lorsque le propriétaire .ablit qu'il est dans l'impossiblité de construire sur son propre fonds ou sur un fonds voisin les places de stationnement imposées, la Municipalité peut l'exonérer totalement ou partiellement de cette obligation moyennant le versement d'une contribution compensatoire de fr. 4'000.- par place de stationnement manquante." La Municipalité a expliqué qu'elle se référait aux normes de l'Association suisse des professionnels de la route et des transports (normes VSS). Le nombre de places admises, soit 12 places (11 places nouvelles et une place existante), paraît suffisant pour six logements. Selon l'art. 24 al. 3 LATC, dans sa nouvelle teneur au 1 er septembre 2018, les plans d'affectation peuvent contenir d'autres dispositions en matière d'aménagement du territoire et de restriction du droit à la propriété, pour autant qu'elles ne soient pas contraires à la loi et au plan directeur cantonal. Ils prévoient en particulier des références aux normes professionnelles en matière de stationnement. L'art. 40a RLATC prévoit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 Jusqu'à l'entrée en vigueur de l'art. 24 al. 3 LATC précité, la jurisprudence avait retenu que l'art. 40a RLATC ne reposait pas sur une base légale suffisante (cf. notamment AC.2016.0402 du 11 octobre 2017; AC.2009.0064 du 4 novembre 2010). Or depuis l'entrée en vigueur de la modification de l'art. 24 LATC, au 1 er septembre 2018, la situation apparaît avoir changé. L'art. 24 al. 3 LATC pourrait ainsi constituer une base légale suffisante justifiant l'application de l'art. 40a RLATC, de sorte qu'une commune serait désormais fondée à se prévaloir des normes VSS nonobstant une réglementation communale contraire (dans ce sens, note in RDAF 2019 I p. 242; cf. cependant AC.2017.0349 du 29 novembre 2018 consid. 10b qui semble mettre en doute cette appréciation). Cette question peut en l'état souffrir de rester indécise. En effet, dès lors que le recours doit être admis au motif que l'agrandissement autorisé n'est pas réglementaire, le projet devra être revu dans le sens d'une réduction, ce qui aura pour conséquence une baisse probable du nombre de places de stationnement. Le Tribunal relève toutefois que la Municipalité ne semble pas avoir vérifié le nombre de places nécessaires liées aux activités commerciales prévues et pour lesquelles la réglementation communale (art. 9.5 al. 1 RCAT) renvoie au demeurant aux normes VSS. Il conviendra aussi de garder à l'esprit que la Municipalité pourra au besoin faire application de l'art. 9.5 al. 4 RCAT qui permet de prélever une taxe compensatoire s'il devait s'avérer impossible d'aménager l'ensemble des places de stationnement nécessaires sur la parcelle.</w:t>
      </w:r>
    </w:p>
    <w:p>
      <w:r>
        <w:rPr>
          <w:b/>
        </w:rPr>
        <w:t>E. 5</w:t>
      </w:r>
    </w:p>
    <w:p>
      <w:r>
        <w:t>Il résulte des considérants qui précèdent que le recours doit être admis et les décisions attaquées ainsi que le permis de construire annulés. De jurisprudence constante, lorsque la procédure met en présence, outre un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(AC.2017.0112 du 31 juillet 2019; AC.2018.0127 du 21 janvier 2019 consid. 4 et les références citées). En l'occurrence, même si les constructeurs n'ont pas procédé par écrit, ils ont participé à l'audience et se sont exprimés, manifestant par là leur intention de maintenir leur projet de construction et voulant implicitement que la décision attaquée soit confirmée. Ils doivent ainsi être considérés comme ayant succombé dans la présente procédure et il se justifie en conséquence de mettre à leur charge l'émolument de justice (art. 49 LPA-VD; art. 4 du tarif du 28 avril 2015 des frais judiciaires et des dépens en matière administrative: TFJDA; BLV 173.36.5.1). Succombant, la Municipalité, qui a procédé avec l'assistance d'un avocat, n'a pas droit à des dépens (art. 55 LPA-VD). Il n'est pas non plus alloué de dépens aux recourants qui n'ont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