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AC.2019.0175 vom 19. August 2020</w:t>
      </w:r>
    </w:p>
    <w:p>
      <w:r>
        <w:t>VD Tribunal cantonal, 2020-08-19, FR</w:t>
      </w:r>
    </w:p>
    <w:p>
      <w:r>
        <w:rPr>
          <w:b/>
        </w:rPr>
        <w:t xml:space="preserve">Quelle: </w:t>
      </w:r>
      <w:r>
        <w:t>https://mcp.opencaselaw.ch/entscheid/vd_omni_AC.2019.0175</w:t>
      </w:r>
    </w:p>
    <w:p>
      <w:r>
        <w:t>FR: VD_OMNI AC.2019.0175 du 19 août 2020</w:t>
      </w:r>
    </w:p>
    <w:p>
      <w:r>
        <w:t>IT: VD_OMNI AC.2019.0175 del 19 agosto 2020</w:t>
      </w:r>
    </w:p>
    <w:p>
      <w:pPr>
        <w:pStyle w:val="Heading2"/>
      </w:pPr>
      <w:r>
        <w:t>Regeste</w:t>
      </w:r>
    </w:p>
    <w:p>
      <w:r>
        <w:t>Fondation A.________/Municipalité de Coppet, Direction générale des immeubles et du patrimoine, B.________, C.________, D.________, E.________, F.________ | Confirmation de la décision municipale ordonnant l'enlèvement d'une barrière installée sur le mur de la terrasse du château de Coppet par la fondation bénéficiaire d'un droit d'usufruit sans que les nus-propriétaires du château aient donné leur accord.</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émane du destinataire de la décision, qui peut se prévaloir d'un intérêt digne de protection à son annulation ou sa modification (art. 75 let. a LPA-VD applicable par renvoi de l'art. 99 LPA-VD). Il respecte au surplus les autres conditions formelles énoncées notamment à l'art. 79 LPA-VD (également applicable par renvoi de l'art. 99 LPA-VD), si bien qu'il y a lieu d'entrer en matière sur le fond.</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considérants qui précèdent conduisent au rejet du recours et à la confirmation de la décision attaquée. Il appartiendra à la municipalité de fixer un nouveau délai pour procéder à la remise en état (art. 59 al. 2 de la loi du 28 octobre 2008 sur la procédure administrative [LPA-VD; RSV 173.36]). La recourante, qui succombe, supporte les frais de justice (art. 49 LPA-VD). La municipalité, de même que l'hoirie de feu G.________, chacune assistée d'un avocat, ont droit à des dépens, qui sont mis à la charge de la recourante (art. 55 LPA-VD et 11 du tarif des frais judiciaires et des dépens en matière administrative,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