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AC.2019.0173 vom 28. November 2019</w:t>
      </w:r>
    </w:p>
    <w:p>
      <w:r>
        <w:t>VD Tribunal cantonal, 2019-11-28, FR</w:t>
      </w:r>
    </w:p>
    <w:p>
      <w:r>
        <w:rPr>
          <w:b/>
        </w:rPr>
        <w:t xml:space="preserve">Quelle: </w:t>
      </w:r>
      <w:r>
        <w:t>https://mcp.opencaselaw.ch/entscheid/vd_omni_AC.2019.0173</w:t>
      </w:r>
    </w:p>
    <w:p>
      <w:r>
        <w:t>FR: VD_OMNI AC.2019.0173 du 28 novembre 2019</w:t>
      </w:r>
    </w:p>
    <w:p>
      <w:r>
        <w:t>IT: VD_OMNI AC.2019.0173 del 28 novembre 2019</w:t>
      </w:r>
    </w:p>
    <w:p>
      <w:pPr>
        <w:pStyle w:val="Heading2"/>
      </w:pPr>
      <w:r>
        <w:t>Regeste</w:t>
      </w:r>
    </w:p>
    <w:p>
      <w:r>
        <w:t>A.________ /Municipalité de Pully, B.________ | Recours d'une opposante contre la décision de la municipalité autorisant un mur antibruit et un balcon. Conditions auxquelles les matériaux et les teintes des ouvrages projetés doivent figurer dans le dossier mis à l'enquête (c. 3). Le balcon prévu sur la maison d'habitation en cause, contigüe à celle de la recourante, n'aggrave pas l'atteinte à la réglementation en vigueur (distance, coefficient d'occupation du sol) compte tenu de sa faible profondeur (1,20 m), pas plus que les inconvénients en résultant pour la recourante, en particulier s'agissant de la vue (oblique) qu'auraient les usagers du balcon sur les fenêtres de la recourante (c. 4). Recours rejeté.</w:t>
      </w:r>
    </w:p>
    <w:p>
      <w:pPr>
        <w:pStyle w:val="Heading2"/>
      </w:pPr>
      <w:r>
        <w:t>Erwägungen</w:t>
      </w:r>
    </w:p>
    <w:p>
      <w:r>
        <w:rPr>
          <w:b/>
        </w:rPr>
        <w:t>E. 1</w:t>
      </w:r>
    </w:p>
    <w:p>
      <w:r>
        <w:t>Déposé dans le délai de trente jours fixé par l'art. 95 de la loi vaudoise du 28 octobre 2008 sur la procédure administrative (LPA-VD; BLV 173.36), le recours est intervenu en temps utile. Il respecte au surplus les conditions formelles énoncées notamment à l'art. 79 LPA-VD (applicable par renvoi de l'art. 99 LPA-VD), si bien qu'il y a lieu d'entrer en matière sur le fond.</w:t>
      </w:r>
    </w:p>
    <w:p>
      <w:r>
        <w:rPr>
          <w:b/>
        </w:rPr>
        <w:t>E. 2</w:t>
      </w:r>
    </w:p>
    <w:p>
      <w:r>
        <w:t>La recourante requiert une série de mesures d'instruction (cf. D supra). a) Le droit d'être entendu garanti par l'art. 29 al. 2 de la Constitution fédérale de la Confédération suisse du 18 avril 1999 (Cst.; RS 101) comprend notamment le droit pour le justiciable d'obtenir qu'il soit donné suite à ses offres de preuves pertinentes, de participer à l'administration des preuves essentielles ou à tout le moins de s'exprimer sur son résultat lorsque cela est de nature à influer sur la décision à rendre. Toutefois, il est possible de renoncer à l'administration de certaines preuves offertes, lorsque le fait dont les parties veulent rapporter l'authenticité n'est pas important pour la solution du cas, lorsque les preuves résultent déjà de constatations versées au dossier ou lorsque le juge parvient à la conclusion qu'elles ne sont pas décisives pour la solution du litige ou qu'elles ne pourraient l'amener à modifier son opinion (cf. ATF 140 I 285 consid. 6.3.1 ; TF 8C_124/2019 du 23 avril 2019 consid. 6.2 et les références citées ). b) En l'espèce, les pièces au dossier, qui comprennent notamment les plans du projet, les photographies des façades sud des deux bâtiments concernés, des extraits Google Maps du quartier ainsi que les fiches de recensement du bâtiment litigieux et des deux immeubles qui sont contigus à l'est et à l'ouest, apparaissent suffisantes pour établir les faits pertinents et traiter en toute connaissance de cause les différents aspects remis en question par la recourante, conformément aux considérants ci-après. Il convient en outre de rejeter d'emblée la requête de la recourante tendant à l'indication des impacts que les travaux intérieurs pourraient avoir sur la stabilité de la construction, dès lors que de tels dommages relèvent exclusivement du droit privé.</w:t>
      </w:r>
    </w:p>
    <w:p>
      <w:r>
        <w:rPr>
          <w:b/>
        </w:rPr>
        <w:t>E. 3</w:t>
      </w:r>
    </w:p>
    <w:p>
      <w:r>
        <w:t>Sous l'angle formel, la recourante considère que le dossier mis à l'enquête serait lacunaire et incomplet, au motif qu'il ne contiendrait aucune indication concernant les matériaux et la teinte des ouvrages projetés. Elle reproche également à la municipalité de ne pas lui avoir transmis les plans modifiés après l'enquête publique, seuls autorisés par le permis de construire. a) Selon l'art. 108 al. 2 de la loi vaudoise du 4 décembre 1985 sur l'aménagement du territoire et les constructions (LATC; BLV 700.11), le règlement cantonal et les règlements communaux déterminent, pour les divers modes de construction et catégories de travaux, les plans et les pièces à produire avec la demande de permis de construire. L'art. 69 du règlement vaudois du 19 septembre 1986 d'application de la LATC (RLATC; BLV 700.11.1) énumère les pièces et indications à fournir avec la demande de permis de construire. b) Aucune des dispositions de la LATC ou du RLATC n'exige explicitement l'indication, dans le dossier d'enquête, des matériaux et des teintes qui seront utilisés. Le Tribunal cantonal a néanmoins retenu que le formulaire de demande de permis de construire doit indiquer la tonalité de base de la couleur des façades. Il a précisé que la pratique consistant à présenter des échantillons peu avant l'exécution des travaux de peinture est pour le reste conforme à la réglementation cantonale relative à l’enquête publique, pour autant qu’il s’agisse de couleurs usuelles (cf. CDAP AC.2017.0321 du 6 septembre 2018 consid. 2a; CDAP AC.2016.0264 du 24 octobre 2017 consid. 9; CDAP AC.2016.0297 du 20 mars 2017 consid. 6a; CDAP AC.2009.0086 du 20 août 2010 consid. 10a; TA AC.1992.0369 du 15 juillet 1993 consid. 2). A Pully, le RCATC précise à son art. 33 que la municipalité "approuve le choix et la couleur des matériaux d'un bâtiment, la forme et le type de couverture de son toit en vue d'assurer l'harmonisation et l'intégration d'une construction au milieu bâti environnant". c) En l'occurrence, il découle du dossier mis à l'enquête (plans et documentation énergétique), s'agissant du balcon, que le garde-corps sera en fer forgé, constitué de barreaux verticaux et surmonté d'un décor identique à celui des ferronneries actuelles garnissant les fenêtres. Ce dossier indique également que les deux futures portes-fenêtres seront en bois (avec un double vitrage isolant) et comporteront des volets de même typologie que les volets existants. Enfin, il révèle que les deux portes vitrées existantes du rez seront remplacées par de nouvelles portes en bois (également avec un double vitrage isolant). Par ailleurs, le permis de construire mentionne expressément, en se référant à l'art. 33 RCATC, que le choix définitif des matériaux et des couleurs appelés à revêtir et à orner le bâtiment devra être soumis pour approbation à la municipalité en temps opportun. En d'autres termes, le dossier mis à l'enquête renseigne à suffisance, de manière conforme à la jurisprudence, sur les matériaux et les teintes prévus pour le balcon et les modifications des ouvertures de la façade sud. Il sied en effet de considérer qu'il ne s'agit pas d'une réfection de façade mais uniquement de la modification de certains éléments de celle-ci, que le choix définitif des teintes des ferronneries et du bois sera subordonné à l'approbation de la municipalité et que l'on peut présumer que celui-ci portera sur des teintes usuelles. En ce qui concerne le mur antibruit, les plans mis à l'enquête indiquent qu'il sera composé d'un mur proprement dit, surmonté d'une paroi antibruit. De surcroît, les plans modifiés précisent qu'il reprendra les caractéristiques de la paroi voisine (en bois, végétalisée, avec socle en béton). Enfin, compte tenu de la présomption de l'usage de teintes usuelles, ainsi que de l'obligation, là aussi, de soumettre le choix définitif à l'approbation de la municipalité, les indications données sont suffisantes. Ainsi, à supposer même que le constructeur ait dû indiquer, déjà lors de l'enquête publique, les matériaux à utiliser pour le mur antibruit, l'éventuelle violation du droit d'être entendu de la recourante serait désormais réparée à la faveur de la présente procédure de recours, où elle a eu tout le loisir de s'exprimer. Par conséquent, doit être rejetée la requête de la recourante tendant à des mesures d'instruction visant à connaître, déjà à ce stade, l'intégralité des matériaux et des teintes qui seront employés pour le balcon, les portes-fenêtres, les portes et le mur antibruit projetés. d) Pour le surplus, s'il est exact que les plans modifiés, mentionnés sur la copie du permis de construire annexée à la décision attaquée, n'ont pas été transmis à la recourante, il faut relever que les changements autorisés sont en faveur de celle-ci, le mur antibruit ayant été réduit tant dans sa longueur que dans sa hauteur. Au demeurant encore une fois, dans la mesure où le droit d'être entendu de la recourante aurait été violé – au motif que celle-ci aurait été empêchée de se déterminer sur les plans modifiés avant que la décision levant son opposition et délivrant le permis de construire ne soit rendue –, ce vice aurait été de toute façon guéri pendant la présente procédure de recours. C'est enfin à juste titre que la municipalité a renoncé à soumettre les modifications en cause à l'enquête publique complémentaire, dès lors que celles-ci, de minime importance, vont dans le sens des opposants (cf. art. 111 et 117 LATC; CDAP AC.2017.0091 du 6 septembre 2018 consid. 3a; CDAP AC.2017.0150 du 25 avril 2018 consid. 3c; CDAP AC.2015.0307 du 22 novembre 2016 consid. 3b et les références citées).</w:t>
      </w:r>
    </w:p>
    <w:p>
      <w:r>
        <w:rPr>
          <w:b/>
        </w:rPr>
        <w:t>E. 4</w:t>
      </w:r>
    </w:p>
    <w:p>
      <w:r>
        <w:t>La recourante soutient que la création du balcon en façade sud aggraverait l'atteinte à la réglementation en vigueur en matière de limite de construction. Elle affirme que cet ouvrage se situerait à quelques centimètres de son bâtiment, si bien que les personnes sortant sur le balcon bénéficieraient d'une vue directe dans son séjour, dont les fenêtres se trouveraient à la même hauteur. Par conséquent, le but visé par les règles de distance, notamment de garantir un minimum de tranquillité aux habitants, serait manifestement violé. a) Selon l'art. 8 RCATC, les règles générales applicables à toute construction sont caractérisées par l'implantation des bâtiments en ordre non contigu, à l'intérieur des limites de constructions (al. 1 let. a). La contigüité et la mitoyenneté sont toutefois autorisées aux conditions suivantes (al. 2): l'ensemble des bâtiments est considéré comme une seule construction pour l'application du présent règlement (let. a); les bâtiments qui composent l'ensemble sont édifiés simultanément et présentent un caractère architectural homogène (let. b). Lorsque les bâtiments sont implantés en ordre non contigu, ils doivent observer une distance minimale de 5 m à la limite de propriété (art. 8 al. 1 let. b et 16 RCATC). D'après l'art. 9 RCATC, les bâtiments sont implantés en fonction de la situation générale des constructions du secteur où ils s'inscrivent, en tenant compte de la topographie naturelle du sol (al. 1). La municipalité peut exiger une implantation particulière afin de garantir une intégration harmonieuse du projet au site construit et aménagé. Elle en définit les principes d'entente avec le propriétaire (al. 2). En l'occurrence, il n'est pas d'emblée certain que le bâtiment du constructeur, érigé en ordre contigu dans le hameau du port de Pully, ne soit pas conforme aux dispositions actuelles. Quoi qu'il en soit, construit au plus tard en 1977, date de son recensement architectural, il bénéficie des dispositions applicables aux anciens bâtiments (cf. consid. b infra). b) L'art. 35 RCATC régit les constructions existantes non conformes aux règles de la zone à bâtir entrées en force postérieurement. Il prévoit que ces constructions peuvent être entretenues, réparées et transformées dans les limites des art. 80 et 82 LATC. L'art. 80 LATC est ainsi libellé: Art. 80 Bâtiments existants non conformes aux règles de la zone à bâtir 1 Les bâtiments existants non conformes aux règles de la zone à bâtir entrées en force postérieurement, relatives aux dimensions des bâtiments, à la distance aux limites, au coefficient d'occupation ou d'utilisation du sol, ou à l'affectation de la zone, mais n'empiétant pas sur une limite des constructions, peuvent être entretenus ou réparés. 2 Leur transformation dans les limites des volumes existants ou leur agrandissement peuvent être autorisés, pour autant qu'il n'en résulte pas une atteinte sensible au développement, au caractère ou à la destination de la zone. Les travaux ne doivent pas aggraver l'atteinte à la réglementation en vigueur ou les inconvénients qui en résultent pour le voisinage. En d'autres termes, l'art. 80 LATC autorise les transformations des bâtiments existants non conformes aux règles de la zone à bâtir entrées en force postérieurement, notamment à celles relatives à la distance aux limites, à condition, en particulier, que les travaux n'aggravent pas l'atteinte à cette réglementation ou les inconvénients qui en résultent pour le voisinage. aa) Les travaux ne devant pas aggraver l'atteinte à la réglementation en vigueur, il convient d'examiner en première ligne si le balcon litigieux doit être tenu pour un avant-corps, ouvrage entrant en considération dans l'examen des distances aux limites de propriété. Le critère pour déterminer si un élément de construction doit être qualifié d’avant-corps tient à son aspect extérieur et à sa volumétrie: si l’ouvrage, compte tenu de ses caractéristiques, apparaît pour l’observateur extérieur comme un volume supplémentaire du bâtiment, on devra alors considérer qu’il aggrave les inconvénients pour le voisinage et, par conséquent, qu’il doit respecter les distances aux limites et demeurer à l’intérieur du périmètre constructible. Ainsi, sauf disposition communale contraire, un élément de construction peut être exclu du calcul de la longueur du bâtiment ou de la distance à respecter entre bâtiments et limites de propriété s’il est de dimensions réduites et s’il conserve un caractère accessoire par rapport au bâtiment principal en ce qui concerne ses fonctions et sa destination, ainsi que ses effets sur l’aspect et la volumétrie du bâtiment (CDAP AC.2018.0324 du 13 juin 2019 consid. 6b/aa; CDAP AC.2017.0376 du 9 mai 2018 consid. 3b; CDAP AC.2017.0108 du 13 novembre 2017 consid. 3c et les références citées). Plus concrètement, sauf disposition communale contraire, peuvent être qualifiés de balcons – non pas d'avant-corps – les ouvrages, quelle qu'en soit leur longueur, formant une saillie réduite sur une façade d’une profondeur de 1,50 m au plus et qui se recouvrent l'un l'autre, et dont le dernier est recouvert par la toiture du bâtiment. Leur fermeture latérale aux extrémités ou dans le courant de la façade en fait des avant-corps. Les balcons ne doivent en outre pas être reliés verticalement par un pilier ou par des séparations s'élevant sur toute la hauteur des niveaux habitables (ibid.). A Pully, l'art. 11 al. 2 let. d RCATC exclut expressément du calcul du coefficient d'occupation du sol les balcons ouverts d’une saillie ne dépassant pas 2,50 m par rapport à la façade, pour autant que ceux-ci ne soient pas fermés latéralement ou frontalement par des éléments pleins ou ajourés. De même, il ressort des art. 15 et 16 RCATC que les balcons ouverts ne sont pas compris dans le calcul de la longueur d'un bâtiment ni dans celui des distances aux limites de propriété. Le balcon litigieux compte une saillie de 1,20 m seulement, donc largement inférieure à la limite jurisprudentielle de 1,50 m, a fortiori au seuil réglementaire communal de 2,50 m. Il n'est en outre pas fermé latéralement et ne comporte pas davantage de piliers. Il ne peut donc pas être considéré comme un avant-corps, de sorte qu'il ne saurait compter dans la distance aux limites ni, du reste, dans le coefficient d'occupation du sol. Pour le même motif, il ne s'agit pas d'un agrandissement du bâtiment mais tout au plus d'une transformation. Peu importe sous cet angle sa longueur, l'aménagement de deux portes-fenêtres ou l'inexistence de balcons dans le voisinage. Par conséquent, à supposer que l'ordre contigu des bâtiments concernés ne respecte pas les dispositions réglementaires actuelles, imposant sauf exception l'ordre non contigu, aucune aggravation d'une telle violation n'est à relever. bb) Quant aux inconvénients pour les voisins, à savoir pour la recourante, ils ne sont pas davantage décisifs sous l'angle du droit public. Le seul fait que les usagers du balcon puissent en l'absence de pare-vue jeter un œil en oblique sur les fenêtres de la recourante, ne suffit pas à condamner le projet. On précisera encore sur ce point que l'on peut estimer sur la base de la photographie des deux façades sud (cf. pièce 4 de la recourante) et des plans au dossier que le sol du balcon se situera à environ 1,20 m en dessous du bas des vitrages de la recourante et son côté oriental à environ 0,8 m de ceux-ci. Il découle en outre de ces mêmes pièces que l'ombre projetée par le balcon ne sera créée que par la dalle, les garde-corps étant ajourés, et ne sera portée que sur le rez de la recourante, non pas sur les fenêtres à l'étage. Or, le rez de la recourante est surmonté d'une marquise, de sorte que l'on distingue mal en quoi le balcon prévu générerait une ombre supplémentaire significative. Il s'ensuit, encore une fois dans l'hypothèse où la contiguïté des deux bâtiments constituerait une violation du règlement actuel, que le balcon n'aggrave pas les inconvénients en résultant pour la recourante. Dans ces conditions, les requêtes de la recourante tendant à la production d'un plan montrant en bref les façades sud des deux bâtiments concernés avec leurs ouvertures, ainsi qu'à l'aménagement d'une étude des ombres, doivent être écartées, les pièces au dossier illustrant la situation à suffisance.</w:t>
      </w:r>
    </w:p>
    <w:p>
      <w:r>
        <w:rPr>
          <w:b/>
        </w:rPr>
        <w:t>E. 5</w:t>
      </w:r>
    </w:p>
    <w:p>
      <w:r>
        <w:t>La recourante considère enfin que le balcon projeté viole les règles de l'esthétique. a) Selon la recourante, la création du balcon réduirait encore davantage l'espace ouvert entre le bâtiment du constructeur et la dépendance bâtie au sud de la parcelle 772, entraînant ainsi un sentiment de fermeture. Par ailleurs, de manière générale, les constructions érigées sur les parcelles 772, 773, 774, 775 et 776 auraient une certaine unité. Aucune d'entre elles ne compterait de balcons, de sorte que l'ouvrage prévu par le constructeur, occupant presque les deux-tiers de la largeur de la façade, constituerait un élément insolite. b) Le tribunal constate que les cinq bâtiments contigus cités par la recourante disposent certes de caractéristiques analogues en termes de hauteur, de typologie de fenêtres, de formes de toitures ainsi que de teintes des façades et des volets, mais comportent ailleurs des différences significatives, notamment dans la taille et la forme des ouvertures en toiture, dans l'alignement des fenêtres ainsi que dans la largeur des bâtiments (cf. pièce 5 de la recourante). Ces cinq bâtiments ne constituent donc pas une unité architecturale qui serait à préserver strictement. Léger et de taille modeste, bordé du même modèle de ferronnerie que celui garnissant déjà l'ensemble des fenêtres existantes du bâtiment, le balcon ne saurait dans ces conditions être qualifié de corps étranger – ni d'élément de fermeture –, d'autant moins qu'il répond en quelque sorte à la marquise surplombant la partie ouest du rez de la recourante. Quant aux portes-fenêtres, elles disposeront également de la même forme et de la même typologie que les autres fenêtres de la façade. Le balcon sera ainsi bien intégré au bâtiment, en note 4 au recensement architectural. Enfin, s'il est exact que les cinq bâtiments mentionnés par la recourante ne comportent pas de balcons, de tels ouvrages sont largement présents dans le quartier du ********, notamment sur la façade sud du bâtiment érigé sur la parcelle 2201, jouxtant la façade ouest du bâtiment litigieux (pièce 5 de la recourante), si bien que le balcon ne rompra en rien l'harmonie existante. Dans ces conditions, la municipalité n'a pas abusé de sa marge d'appréciation en considérant que le balcon projeté ne violait pas les règles de l'esthétique et de l'intégration (cf. art. 86 LATC et art. 32 RCATC).</w:t>
      </w:r>
    </w:p>
    <w:p>
      <w:r>
        <w:rPr>
          <w:b/>
        </w:rPr>
        <w:t>E. 6</w:t>
      </w:r>
    </w:p>
    <w:p>
      <w:r>
        <w:t>Vu ce qui précède, le recours doit être rejeté et la décision attaquée confirmée, aux frais de la recourante qui succombe. Celle-ci supportera également les dépens dus à la municipalité ainsi qu'au constructeur.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