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AC.2019.0155 vom 24. November 2020</w:t>
      </w:r>
    </w:p>
    <w:p>
      <w:r>
        <w:t>VD Tribunal cantonal, 2020-11-24, FR</w:t>
      </w:r>
    </w:p>
    <w:p>
      <w:r>
        <w:rPr>
          <w:b/>
        </w:rPr>
        <w:t xml:space="preserve">Quelle: </w:t>
      </w:r>
      <w:r>
        <w:t>https://mcp.opencaselaw.ch/entscheid/vd_omni_AC.2019.0155</w:t>
      </w:r>
    </w:p>
    <w:p>
      <w:r>
        <w:t>FR: VD_OMNI AC.2019.0155 du 24 novembre 2020</w:t>
      </w:r>
    </w:p>
    <w:p>
      <w:r>
        <w:t>IT: VD_OMNI AC.2019.0155 del 24 novembre 2020</w:t>
      </w:r>
    </w:p>
    <w:p>
      <w:pPr>
        <w:pStyle w:val="Heading2"/>
      </w:pPr>
      <w:r>
        <w:t>Regeste</w:t>
      </w:r>
    </w:p>
    <w:p>
      <w:r>
        <w:t>A.________ à M.________/Municipalité de Lausanne, N.________, Direction générale des immeubles et du patrimoine | Viole le droit d'être entendu de la constructrice la municipalité qui révoque sa décision délivrant une autorisation de construire et refuse le permis demandé dans le délai de réponse imparti durant la procédure de recours devant la CDAP en l'absence d'éléments nouveaux. Le vice a toutefois été réparé dans la procédure de recours et n'entraîne pas l'annulation pure et simple de la décision attaquée.</w:t>
      </w:r>
    </w:p>
    <w:p>
      <w:pPr>
        <w:pStyle w:val="Heading2"/>
      </w:pPr>
      <w:r>
        <w:t>Erwägungen</w:t>
      </w:r>
    </w:p>
    <w:p>
      <w:r>
        <w:rPr>
          <w:b/>
        </w:rPr>
        <w:t>E. 1</w:t>
      </w:r>
    </w:p>
    <w:p>
      <w:r>
        <w:t>Le 9 avril 2019, l’autorité intimée a rendu une première décision octroyant à la société M.________ l’autorisation de démolir les bâtiments existants sur la parcelle 2332 et d’y construire en lieu et place son projet. Tandis que cette décision faisait l’objet d’un recours des opposants devant la CDAP, l’autorité intimée a révoqué sa décision et refusé le permis de construire demandé, le 4 septembre 2019, avant de déposer sa réponse. Le dépôt d’un recours a généralement pour effet de supprimer la faculté de l’autorité de révoquer librement sa décision. C’est une conséquence de ce qu’on appelle l’effet dévolutif de l’utilisation d’un moyen de droit ordinaire. Le droit vaudois règle cependant cette question de manière particulière à l’art. 83 de la loi sur la procédure administrative du 28 octobre 2008 (LPA-VD; BLV 173.36) – applicable en matière de recours de droit administratif par renvoi de l’art. 99 LPA-VD -, en prévoyant qu’en lieu et place de ses déterminations, l’autorité intimée peut rendre une nouvelle décision partiellement ou totalement à l’avantage du recourant (al. 1). L’autorité poursuit alors l’instruction du recours, dans la mesure où celui-ci n’est pas devenu sans objet (al. 2). Ainsi, l’autorité dont la décision est attaquée perd la compétence de la modifier ou de la révoquer, conformément à la disposition précitée, dès l’envoi de sa réponse, comme c’est également le cas en procédure fédérale. Si elle rend une nouvelle décision avant l’envoi de sa réponse, cette dernière se substitue à l’ancienne; si elle fait droit aux prétentions du recourant, le litige devient sans objet; en revanche, si un point litigieux subsiste, elle sera le nouvel objet de la procédure sans qu’il soit nécessaire d’introduire un nouveau recours (Bovay/Blanchard/Grisel Rapin, Procédure administrative vaudoise, LPA-VD annotée, éd. 2012, n. 2.1 ad art. 83 et la réf. citée). De prime abord, on pourrait penser que la décision révoquant le permis de construire rend le recours des opposants sans objet, vu qu’elle fait droit à leurs prétentions. Cela étant, les constructeurs ont à leur tour recouru contre la décision refusant l’autorisation demandée. Or, si le recours des constructeurs venait à être admis, on ne saurait exclure que la première procédure ait perdu tout objet. Il se pourrait en effet qu’un point litigieux subsiste. Aussi, par économie de procédure, il faut considérer que les deux procédures conservent leur objet tout en statuant en un seul arrêt sur les deux recours, dirigés respectivement contre l’octroi du permis de construire du 9 avril 2019 et la décision du 4 septembre 2019 le révoquant.</w:t>
      </w:r>
    </w:p>
    <w:p>
      <w:r>
        <w:rPr>
          <w:b/>
        </w:rPr>
        <w:t>E. 2</w:t>
      </w:r>
    </w:p>
    <w:p>
      <w:r>
        <w:t>a) La constructrice se plaint d’une violation de son droit d’être entendu, qui justifierait l’annulation pure et simple de la décision attaquée. Elle reproche à l’autorité intimée de ne jamais l’avoir invitée à se déterminer au sujet d’une éventuelle révocation du permis de construire alors que, face à l’alternative d’autoriser la démolition d’un bâtiment protégé ou d’en imposer le maintien à son propriétaire, il convient, sous l’angle de la proportionnalité, de prendre en considération notamment les coûts qui en découlent pour ce dernier. Or, la constructrice n’a jamais été appelée à fournir les éléments de réflexion qui devaient être pris en compte dans la pesée des intérêts à exécuter. L’autorité intimée expose qu’après que plusieurs dossiers de demandes de démolition/reconstruction concentrés dans un périmètre du quartier de l’avenue du Grey, chemin de Pierrefleur, chemin du Boisy ont été déposés, des contacts ont eu lieu à la fin de l’année 2017 entre les autorités communales et cantonales en vue de réaliser le recensement architectural du quartier. Le Canton s’y est montré favorable mais le travail, confié aux historiens en architecture O.________ et P.________, a pris du temps et n’a abouti à un rapport débouchant sur l’attribution de 57 notes au recensement architectural qu’en juin 2019. Suite à ce recensement – qui, on le rappelle, attribue la note *4* à la villa familiale et au garage litigieux -, la déléguée communale à la protection du patrimoine bâti a été consultée. Son préavis, du 23 juillet 2019, défavorable, fonde la révocation de l’autorisation du 9 avril 2019 et le refus de l’autorisation de construire du 4 septembre 2019. b)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de la loi sur la procédure administrative du 28 octobre 2008 (LPA-VD; BLV 173.36).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 et les réf. citées). c) En l’espèce, il est douteux que le recensement architectural conduit par les experts, de même que le préavis négatif de la déléguée à la protection du patrimoine bâti constituent des éléments nouveaux justifiant le revirement de l’autorité intimée. Tout d’abord, l’attribution d’une note *4* par le recensement cantonal, qui signifie qu’on est en présence d’un objet bien intégré, par son volume, sa composition et souvent sa fonction et qui participe à la définition de l’identité de la localité, ne paraît pas constituer en soi un élément qui permettait à l’autorité intimée de revenir sur sa décision initiale. Il en aurait été sans doute différemment si le recensement avait attribué une note *2* aux bâtiments existants ou si leur classement avait été proposé, puisque cela aurait signifié pour leur propriétaire un niveau de protection de leurs constructions beaucoup plus grand et des restrictions plus conséquentes en matière de transformations. Par ailleurs, les éléments dont les documents cités font état n’étaient pas à proprement parler nouveaux. En effet, le manque d’intégration et d’esthétique du projet avaient été invoqués dans les nombreuses oppositions au projet. En particulier, l’opposition des Verts lausannois, du 13 juillet 2018, se référant à la démolition-reconstruction récente de plusieurs bâtiments en vue de la création d’immeubles de respectivement 36, 15, 12 et 23 appartements dans le quartier soutenait qu’il était urgent de développer une réflexion qualitative et cohérente sur l’ensemble du secteur afin de préserver ce qui le méritait et éventuellement de densifier de façon qualitative le reste, plutôt que de procéder au coup par coup. Bien que le préavis du Service d’architecture de la Ville de Lausanne, du 12 février 2019, soit favorable, des défauts étaient relevés. Enfin, l’ISOS fait état de la qualité du secteur et l’autorité intimée était tenue de prendre en considération cet inventaire pour apprécier l’esthétique et l’intégration du projet. Or, la nécessité de prendre en considération les objectifs de l’ISOS pour apprécier l’esthétique ou l’intégration d’un projet de construction est connue de longue date (cf. à ce sujet par exemple, l’arrêt ‟Gottettaz” AC.2015.0111 du 17 août 2016 consid. 11cc) et les réf. citées). Il s’ensuit que le préavis négatif de la déléguée à la protection du patrimoine bâti apparaît comme un prétexte que l’autorité intimée a trouvé pour révoquer sa décision. Cette dernière aurait dû informer la constructrice de ces éléments, afin que cette dernière puisse s’exprimer à leur sujet. Ne le faisant pas, elle a violé le droit d’être entendu de la constructrice. Cela étant, on doit considérer que le vice a été réparé dans la procédure de recours et n’entraîne de ce fait pas l’annulation pure et simple de la décision de révocation. En effet, la constructrice a pu prendre pleinement part à la procédure en développant ses arguments, produisant des pièces et participant à l’inspection locale. Un renvoi de la cause apparaît en outre vide de sens et prolongerait inutilement la procédure, au détriment de l’intérêt des parties à recevoir une décision dans un délai raisonnable.</w:t>
      </w:r>
    </w:p>
    <w:p>
      <w:r>
        <w:rPr>
          <w:b/>
        </w:rPr>
        <w:t>E. 3</w:t>
      </w:r>
    </w:p>
    <w:p>
      <w:r>
        <w:t>Sur la base de ce préavis, la Municipalité peut imposer des restrictions au droit de bâtir et interdire les constructions, transformations ou démolitions.</w:t>
      </w:r>
    </w:p>
    <w:p>
      <w:r>
        <w:rPr>
          <w:b/>
        </w:rPr>
        <w:t>E. 4</w:t>
      </w:r>
    </w:p>
    <w:p>
      <w:r>
        <w:t>a) En l’espèce, les constatations faites par le tribunal lors de l’inspection locale, illustrées par les nombreuses photographies annexées au procès-verbal, ont confirmé que les habitations situées, au nord, de part et d’autre du chemin de Beau-Site, au sud, en amont du chemin de Pierrefleur et délimitées à l’est par l’avenue du Grey, formaient un secteur clairement identifiable. Ce site est parfaitement décrit par l’ISOS comme un secteur résidentiel installé sur la pente du coteau, tissu discontinu, essentiellement des maisons individuelles et locatives construites entre le début et la moitié du 20 e siècle, avec quelques petits locatifs, essentiellement à deux ou trois niveaux, de qualité générale élevée mêlant des références régionalistes, classicisantes et modernes. Les habitations sont entourées de jardins verdoyants. Ce périmètre est classé par l’ISOS en catégorie d’inventaire ″B″, ce qui indique l’existence d’une structure d’origine : l’organisation spatiale historique est conservée et la plupart des bâtiments présentent les caractéristiques propres à une même époque ou à une même région. Sur place, le tribunal a ainsi pu constater que même si les habitations regroupées dans ce secteur n’étaient pas rigoureusement identiques, elles formaient un tout cohérent. Ces villas, unifamiliales ou collectives, présentent en effet par exemple des détails architecturaux similaires. Les deux architectes formant la composition de la Cour relèvent en outre que, de façon générale, les constructions, de tailles comparables, ont été réalisées par les mêmes architectes, que l’on a recouru aux mêmes maîtres d'état, que les façades ont été traitées de manière similaire (ce qui se voit à certains détails souvent répétés) et que les mêmes matériaux ont souvent été utilisés pour la réalisation. Le secteur forme ainsi un tout homogène. Quelques bâtiments s'écartent de la norme ainsi décrite, mais ceux-ci restent l’exception. Il en va ainsi de la villa Cosandey, construite en 1955, désormais classée monument historique, décrite par la fiche de recensement comme une structure constituée d’une charpente métallique supportant deux dalles en béton armé reliées par un remplissage de briques. Il en va aussi de même d’un chalet, édifié à quelques dizaines de mètres de la villa Cosandey. Mais même si ces deux bâtiments affichent des architectures très différentes de leurs voisins, ils s’intègrent au secteur compte tenu de leur gabarit similaire. Par ailleurs, le tribunal relève que les constructions du secteur en question sont entourées de jardins arborisés qui confèrent à ce dernier un caractère verdoyant, qui ferait presque oublier que l’on se trouve en ville. En conclusion, le gabarit relativement modeste des bâtiments, leurs architectures apparentées, leur édification à une période bien définie et la présence de jardins verdoyants permettent clairement de distinguer le secteur de l’aspect urbain du secteur voisin, à l’ouest de l’avenue du Grey, constitué essentiellement de tours locatives. Au sud du chemin de Pierrefleur, aux n° 1, 3 et 6, soit à quelques dizaines de mètres du projet litigieux, le tribunal a constaté que plusieurs habitations aux gabarits conséquents avaient été récemment construites. Le tribunal relève également la présence, en aval, de l’imposant collège de Pierrefleur. A l’ouest, le secteur est bordé par le jardin, en partie arborisé, qui entoure le temple réformé dit église Saint-Matthieu, en béton brut, à disposition hélicoïdale des parties étagées dans la pente culminant dans le clocher et chapelle à proximité de la rue. Plus à l’ouest, sont implantés sur le coteau de grandes barres locatives. Au vu de ce qui précède, l’appréciation de l’autorité intimée, qui considère que cet ensemble présente une identité propre méritant d’être sauvegardée, peut être confirmée. Elle tient en effet compte du fait que l’ISOS attribue au périmètre 58 un objectif de sauvegarde ″B″, qui préconise la sauvegarde de la structure, la conservation de la disposition et de l’aspect des constructions et des espaces libres de même que la sauvegarde intégrale des éléments et des caractéristiques essentiels pour la conservation de la structure. Cet objectif devra par ailleurs être pris en considération dans le cadre de l’interprétation des dispositions cantonales et communales relatives à la clause d’esthétique (cf. arrêt AC.2017.0298 consid. 4 précité et les réf.). Le tribunal note au passage que la commune de Lausanne envisage par ailleurs d’inscrire une politique de sauvegarde de l’identité des quartiers dans son plan directeur communal en voie de révision. Même si un plan directeur n’est pas directement applicable au cas qui nous occupe, il consacre une évolution de la pratique communale en posant le principe d’un cadrage de l’évolution des quartiers afin de respecter et de valoriser leur identité en proposant comme mesure de respecter et valoriser l’identité des entités urbaines et permettre leur évolution en cohérence avec leurs valeurs morphologiques et architecturales. Reste à définir si la parcelle litigieuse et la villa familiale qu’elle supporte sont intégrées dans l’entité décrite ci-dessus, d’une part, et si le projet y porte atteinte, d’autre part. b) On peut se demander en effet si la parcelle litigieuse fait vraiment partie de l’ensemble bâti décrit ci-dessus. On pourrait à première vue en douter, du fait qu’elle se situe à l’angle sud-ouest de l’ensemble en question, entre le centre paroissial Saint-Matthieu et l’habitation sise au chemin de Pierrefleur 12. Elle se trouve également non loin d’habitations collectives relativement importantes, récemment sorties de terre, et du Collège de Pierrefleur. Y regardant de plus près, le tribunal conclut toutefois que, même si elle semble un peu à part, elle fait partie intégrante de l’entité décrite ci-dessus. La villa familiale litigieuse, d’une architecture sobre, a été construite en 1930 sur les plans de l’architecte René Bonnard. Elle comporte deux niveaux sur un demi-sous-sol. Sa toiture à quatre pans est débordante. L’angle sud-est, originellement occupé au rez-de-chaussée par une terrasse couverte a été soigneusement fermé et vitré en 1967 pour agrandir le séjour. Il est surmonté d’une terrasse à parapet de maçonnerie et garde-corps métallique, qui se retourne en façade est. Un garage a été ajouté à la fin des années 1950, tandis qu’un portail relevant du répertoir ‟Art Deco” ferme l’escalier d’accès. Le Recensement de juin 2019 attribue la note *4* à la villa et au garage. Cette note signifie que les bâtiments sont bien intégrés par leur volume, leur composition et souvent encore leur fonction. Les objets de cette catégorie constituent souvent la majorité des bâtiments représentatifs d’une localité et sont donc déterminants pour l’image d’une localité et constitutifs du site. A ce titre, leur identité mérite d’être sauvegardée. Le recensement précise que l’intérêt de la villa litigieuse réside dans son implantation et dans l’originalité de son avant-corps latéral généreusement ajouré, aux accents modernistes. Deux villas voisines, au chemin de Pierrefleur 6 et 10, sont pratiquement contemporaines, puisqu’édifiées en 1931 sur les plans de l’architecte entrepreneur Marius Rapin. A juste titre, la décision du 4 septembre 2019 souligne qu’avec l’immeuble sis au chemin de Pierrefleur 2, édifié en 1939, il existe une séquence cohérente de quatre constructions des années 1930. Cette cohérence est soulignée par la présence d’un mur de soutènement en moellons rustique plus ou moins haut. En conclusion, il faut considérer après mûre analyse que la construction existante sur la parcelle litigieuse fait bel et bien partie de l'ensemble bâti décrit ci-dessus. c) Le projet litigieux est décrit dans le préavis du service d’architecture de la Ville de Lausanne du 12 février 2019, partiellement reproduit dans le considérant E de l’état de fait du présent arrêt. Il consiste dans un volumineux immeuble à toiture plate végétalisée, consistant en un corps principal de quatre niveaux, suivant la limite des constructions, posé sur un sous-sol partiellement enterré et surmonté d’un niveau d’attique. Le préavis souligne que des surfaces murales pleines, plus denses, se démarquent sur toute la verticalité de la façade de la composition des fenêtres. Les façades crépies gris-beige appuient ce caractère massif d’aspect minéral. En contrepoint de cette esthétique austère, la grande dimension des fenêtres ordonnées ‟façon percements” confère un aspect plus luxueux et contemporain à cette architecture. La toiture plate présente une recherche intéressante d’intégration panneaux solaires/toiture végétalisée extensive. L’entrée de l’immeuble situé à l’ouest du bâtiment se fait par un cheminement et des escaliers donnant sur le chemin de Pierrefleur et se prolonge par un hall. Le projet vient s’implanter directement en limite de propriété et propose, par l’expression et la matérialité de son socle, un dialogue avec le mur de pierre de Meillerie voisin. La façade du rez-de-chaussée, en bordure du chemin de Pierrefleur, est positionnée à fleur et ne propose aucun dispositif du style terrasse-jardinière participant à créer une certaine transition entre le bâti et la rue. Le préavis du service d’architecture relève encore que l’espace vert du projet, qu’il qualifie de sans qualité particulière ni plus-value, est un espace interstitiel d’environ 6 m de largeur le long de la façade nord. L’emprise du sous-sol occupe pratiquement toute la parcelle et ne permet pas de dégager suffisamment d’espace en terre autour de l’immeuble et la plupart des arbres d’essence majeure ne seront pas plantés en pleine terre. Le préavis du service d’architecture de la Ville de Lausanne, du 21 février 2019, relevait, notamment, que le bâtiment projeté ne recherchait pas d’unité d’ensemble avec son proche voisinage bâti et paysager, ce qui a pu être observé lors de l’inspection locale. Sur place, les gabarits ont permis au tribunal de constater que le projet présentait une volumétrie et une frontalité très affirmées, qui ne correspondaient en rien à l’ensemble bâti composé de villas familiales ou locatives dans lequel il doit s’insérer. Il émanait ainsi du volume représenté par les gabarits un sentiment d’écrasement, alors que les villas du quartier, de taille plus réduite, sont implantées au milieu de jardins verdoyants. Du fait de son alignement au trottoir et de sa masse, le bâtiment projeté se trouve en rupture avec le contexte bâti existant, ainsi que le reléve le préavis du 23 juillet 2019 de la déléguée à la protection du patrimoine de la Ville de Lausanne. Le langage architectural minéral du projet s’inscrit également en rupture avec l’environnement paysager du secteur, largement arborisé. Comme le souligne encore le préavis de la déléguée, le mur de soutènement en moellons assurant la continuité de la rue serait remplacé par le socle de l’immeuble percé de 4 ouvertures verticales, de type ‟balcon à la française″. La rampe d’accès au garage, d’une pente de 11 %, créerait une rupture dans le mur et la topographie de la rue et les balcons prévus en saillie au-dessus du trottoir relèvent d’un dispositif étranger au secteur. Il s’agit autant d’éléments qui sont de nature à entraîner une altération de l’homogénéité digne d’être préservée du quartier. En autorisant le projet, il existe un risque concret de perte d’identité du site, ce qui contreviendrait à l’objectif de sauvegarde que l’ISOS attribue au site et qui préconise la sauvegarde de la structure, la conservation de la disposition et de l’aspect des constructions et des espaces libres, de même que la sauvegarde intégrale des éléments et des caractéristiques essentiels pour la conservation de la structure. Le tribunal note en outre que le projet, toujours en raison de sa masse et de sa minéralité, est également très affirmé sur le côté ouest vis-à-vis du temple de Saint-Matthieu, et de son parc paysager. C’est en conclusion sans abus ni excès de son pouvoir d’appréciation que la municipalité intimée a considéré que le projet litigieux rompait la cohésion d’ensemble d’un secteur nécessitant une attention particulière et que l’absence d’intégration qualitative de celui-ci ne permettait pas sa réalisation. Partant, on se trouve en présence d’une construction qui peut être interdite du fait qu’elle est susceptible de compromettre l’aspect et le caractère d’un quartier au sens de l’art. 69 al. 1 RPGA. En présence d’un ensemble bâti identifié, l’art. 73 al. 4 RPGA permet en outre à la municipalité, en particulier, de préserver la volumétrie générale d’ensemble, le rythme du parcellaire, la composition verticale et horizontale des façades, les formes de toiture, ainsi que les aménagements des espaces libres, lorsqu’il s’agit comme en l’espèce d’éviter une rupture du tissu bâti existant.  Partant, la décision refusant sa construction doit être confirmée. L’intérêt à la densification des constructions invoquée par la constructrice doit céder le pas devant celui à une bonne intégration dans un ensemble bâti digne d’être conservé. Même s’il existe un intérêt public important à densifier les centres urbains, conformément à ce que prescrit la loi sur l’aménagement du territoire, l’utilisation maximale des possibilités de construire que consacre le projet litigieux, qui vient s’implanter jusqu’au droit du trottoir, apparaît déraisonable. Par ailleurs, le refus de l’autorité intimée n’équivaut pas à un classement de la villa et du garage litigieux et la propriétaire conserve la possibilité d’en tirer un rendement acceptable en proposant un autre projet qui satisfasse aux exigences légales et réglementaires, en matière d’esthétique et d’intégration notamment. En audience, l’autorité intimée a fait en effet savoir qu’elle n’était pas opposée sur le principe à une démolition/reconstruction.</w:t>
      </w:r>
    </w:p>
    <w:p>
      <w:r>
        <w:rPr>
          <w:b/>
        </w:rPr>
        <w:t>E. 5</w:t>
      </w:r>
    </w:p>
    <w:p>
      <w:r>
        <w:t>Les considérants qui précèdent conduisent au rejet du recours déposé par la constructrice, à l’admission de celui déposé par les opposants, à l’annulation de la décision du 9 avril 2019, de même qu’à la confirmation de celle du 4 septembre 2019, aux frais de la constructrice, qui succombe (art. 49 al. 1 LPA-VD). Cette dernière versera des dépens aux opposants, pour l’intervention de leur avocat (art. 55 al. 1 et 2 LPA-VD). L’autorité intimée en revanche n’a pas droit à des dépens, ayant, par son attitude révoquant une autorisation infondée, compliqué la procédure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