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AC.2019.0143 vom 13. Februar 2020</w:t>
      </w:r>
    </w:p>
    <w:p>
      <w:r>
        <w:t>VD Tribunal cantonal, 2020-02-13, FR</w:t>
      </w:r>
    </w:p>
    <w:p>
      <w:r>
        <w:rPr>
          <w:b/>
        </w:rPr>
        <w:t xml:space="preserve">Quelle: </w:t>
      </w:r>
      <w:r>
        <w:t>https://mcp.opencaselaw.ch/entscheid/vd_omni_AC.2019.0143</w:t>
      </w:r>
    </w:p>
    <w:p>
      <w:r>
        <w:t>FR: VD_OMNI AC.2019.0143 du 13 février 2020</w:t>
      </w:r>
    </w:p>
    <w:p>
      <w:r>
        <w:t>IT: VD_OMNI AC.2019.0143 del 13 febbraio 2020</w:t>
      </w:r>
    </w:p>
    <w:p>
      <w:pPr>
        <w:pStyle w:val="Heading2"/>
      </w:pPr>
      <w:r>
        <w:t>Regeste</w:t>
      </w:r>
    </w:p>
    <w:p>
      <w:r>
        <w:t>ASSOCIATION SAUVER LAVAUX/Municipalité de Chexbres, A.________ | Recours de l'association Sauver Lavaux contre le permis de construire une villa, au motif que le projet ne respecterait pas le nombre de niveaux habitables maximum prescrit par la règlementation communale. La modification de la toiture, qui est intervenue après le dépôt du recours et qui a été approuvée par la municipalité, a pour effet que le niveau supérieur de la villa peut être qualifié de combles au sens de la règlementation communale (consid. 2b.). Par ailleurs, l'autorité intimée n'a pas abusé de son pouvoir d'appréciation en considérant que le sous-sol et le rez-de-chaussée, au vu de la déclivité du terrain et de la surface non habitable, devaient être considérés comme deux niveaux partiels équivalant à un niveau ordinaire, comme le permet la règlementation communale, de sorte que le projet respecte le nombre de niveaux admissibles (consid.2c). Rejet du recours.</w:t>
      </w:r>
    </w:p>
    <w:p>
      <w:pPr>
        <w:pStyle w:val="Heading2"/>
      </w:pPr>
      <w:r>
        <w:t>Erwägungen</w:t>
      </w:r>
    </w:p>
    <w:p>
      <w:r>
        <w:rPr>
          <w:b/>
        </w:rPr>
        <w:t>E. 1</w:t>
      </w:r>
    </w:p>
    <w:p>
      <w:r>
        <w:t>La voie du recours de droit administratif, au sens des art. 92 ss de la loi du 28 octobre 2008 sur la procédure administrative (LPA-VD; BLV 173.36), est en principe ouverte contre la décision d'une municipalité qui octroie un permis de construire  en levant les oppositions. L'association recourante se prévaut d'un droit de recours fondé sur l'art. 52a de la Constitution du canton de Vaud du 14 avril 2003 (Cst-VD; BLV 101.01). Cette disposition prévoit que " la région de Lavaux, de la Lutrive à Corsier, est déclarée site protégé " (art. 52a al. 1 Cst-VD). Le périmètre du plan de protection est défini précisément par la loi sur le plan de protection de Lavaux (LLavaux; BLV 701.43) et la parcelle concernée est incluse dans ce périmètre (territoire d'agglomération II; cf. art. 2, 14 et 21 ss LLavaux). Aux termes de l'art. 52a al. 2 Cst-VD, toute atteinte à la protection de la région de Lavaux " peut être attaquée sur le plan administratif ou judiciaire par ceux qui sont lésés et par les associations de protection de la nature et celles de la protection du patrimoine ". Sauver Lavaux est une association de protection de la nature ou du patrimoine qui peut se prévaloir du droit de recours prévu par cette disposition de la Constitution cantonale, y compris pour saisir le Tribunal cantonal d'un recours de droit administratif contre une décision d'une municipalité au sujet d'un permis de construire dans le périmètre protégé. Une norme spéciale du droit cantonal autorisant cette association à recourir, sa qualité pour agir est fondée sur l'art. 75 let. b LPA-VD (par renvoi de l'art. 99 LPA-VD) et non pas sur l'art. 75 let. a LPA-VD. Dans ce cadre, Sauver Lavaux peut se plaindre d'une violation des normes définissant la protection de la région de Lavaux ainsi que des normes des règlements communaux de police des constructions qui concrétisent la LLavaux (cf. AC.2017.0003 du 14 décembre 2017; AC.2012.0304 du 10 décembre 2013 consid. 1). En font notamment partie les règles sur la hauteur des constructions, décisives pour leur impact visuel; la recourante invoque de telles règles (cf. infra, consid. 2). Dans les territoires d'agglomération I et II du plan de protection, la LLavaux fixe du reste des principes à ce sujet (art. 20 let. b, art. 21 let. d LLavaux); la traduction de ces principes dans les règlements communaux, en fonction des caractéristiques des zones concernées, a précisément pour effet de concrétiser les objectifs de protection du site. Le présent recours a par ailleurs été déposé dans le délai légal (art. 95 LPA-VD) et il respecte les exigences formelles de l'art. 79 LPA-VD (par renvoi de l'art. 99 LPA-VD). Il y a donc lieu d'entrer en matière sur le fond.</w:t>
      </w:r>
    </w:p>
    <w:p>
      <w:r>
        <w:rPr>
          <w:b/>
        </w:rPr>
        <w:t>E. 2</w:t>
      </w:r>
    </w:p>
    <w:p>
      <w:r>
        <w:t>chacune. Dans sa description de son projet (document "situation de la parcelle dans le paysage de Lavaux", p. 6), l'architecte indique que le niveau du sous-sol est enterré intégralement sur trois faces ainsi qu'en toiture, que la façade dégagée est un mur de soutènement avec quatre ouvertures ponctuelles, reculées dans l'ombre afin de les dissimuler au maximum. Plus de la moitié du sous-sol est occupée par des locaux sans fenêtres (cf. aussi p. 5 du document précité), qui ne répondent donc pas aux exigences du droit cantonal en matière d'éclairage et de ventilation, pour les locaux susceptibles de servir à l'habitation ou au travail sédentaire (cf. art. 28 du règlement d'application du 19 septembre 1986 de la LATC [RLATC; BLV 700.11.1]). Au niveau du rez-de-chaussée, l'architecte estime qu'à cause d'une intégration maximum dans la pente, il y a une perte de l'habitabilité de la moitié de la surface (document précité, p. 6). Dans le présent arrêt, il ne se justifie pas de calculer quelles pièces, au sous-sol et au rez-de-chaussée, sont suffisamment aérées naturellement et éclairées pour pouvoir être considérées comme des locaux habitables, et quelles surfaces ne peuvent pas être directement utilisées pour l'habitation (le règlement communal ne prévoit pas, comme à Bougy-Villars, une surface habitable maximale lorsque des locaux habitables sont répartis sur deux niveaux partiels). Il suffit de constater que ces deux niveaux ne sont, d'après les plans, que partiellement occupés par des pièces habitables, la proportion de locaux non habitables étant plus importante au sous-sol qu'au rez-de-chaussée. Ni la LATC, ni la LLavaux – lorsque le bâtiment se trouve à l'intérieur du gabarit maximal de l'art. 21 let. d LLavaux – ne contiennent des règles permettant d'interpréter la notion de "niveaux partiels". Comme, en droit cantonal vaudois, les communes jouissent d'une autonomie lorsqu'elles définissent l'affectation de leur territoire et lorsqu'elles appliquent le droit des constructions (art. 139 al. 1 let. d Cst-VD), les autorités cantonales doivent laisser aux autorités communales la liberté d'appréciation nécessaire à l'accomplissement de leurs tâches. Il s'ensuit, d'après la jurisprudence du Tribunal fédéral,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3 al. 2 de la loi fédérale du 22 juin 1979 sur l'aménagement du territoire [LAT; RS 700]).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145 I 52 consid. 3.6; arrêt TF 1C_499/2017-1C_500/2017 du 19 avril 2018, consid. 3.1 et les arrêts cités) . En l'occurrence, la réglementation communale autorise la construction "par niveaux partiels" et permet donc de considérer que, dans certaines situations, deux niveaux partiels (de l'art. 16 al. 2 RPE) équivalent à un niveau ordinaire (de l'art. 16 al. 1 RPE). Il est manifeste que la règle spéciale ou dérogation de l'art. 16 al. 2 RPE trouve son sens sur les terrains en forte pente, où les locaux habitables de niveaux différents sont en quelque sorte décalés les uns par rapport aux autres (comme ceux du sous-sol et du rez-de-chaussée, dans le projet litigieux). Les explications données par la municipalité, au sujet de la possibilité d'appliquer l'art. 16 al. 2 RPE dans le cas particulier, sont convaincantes. Il y a des motifs objectifs d'appliquer en l'espèce cette clause spéciale, le sous-sol et le rez-de-chaussée n'étant pas des niveaux entièrement habitables ordinaires (comme deux niveaux superposés identiques – cf. à ce propos arrêt AC.2014.0007 du 17 avril 2014 consid. 2b); c'est donc la partie habitable, non enterrée, de chacun de ces niveaux qui est traitée comme un niveau partiel. La cour de céans n'a aucune raison de considérer que la municipalité aurait mal apprécié les circonstances pertinentes et, vu la jurisprudence rappelée ci-dessus, il faut retenir que le projet litigieux peut être autorisé; il est soutenable en effet de traiter le projet, avec les deux niveaux inférieurs tels qu'ils sont conçus, comme une construction par niveaux partiels. Il s'ensuit que la règle communale sur le nombre de niveaux admissible (art. 16 RPE) n'est pas violée. Les griefs de l'association recourante sont partant mal fondés.</w:t>
      </w:r>
    </w:p>
    <w:p>
      <w:r>
        <w:rPr>
          <w:b/>
        </w:rPr>
        <w:t>E. 3</w:t>
      </w:r>
    </w:p>
    <w:p>
      <w:r>
        <w:t>Le recours doit par conséquent être rejeté, ce qui entraîne la confirmation de la décision attaquée. Les frais de la cause doivent être mis à la charge de la recourante qui succombe (art. 49 LPA-VD). L'émolument sera cependant fixé en tenant compte du fait que le projet de construction a été modifié en fonction des griefs du recours (cf. supra, consid. 2b). Le montant des dépens auxquels la commune a droit, la municipalité ayant procédé avec le concours d'un mandataire professionnel, sera également arrêté compte tenu de cette circonstance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