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AC.2019.0133 vom 25. Februar 2020</w:t>
      </w:r>
    </w:p>
    <w:p>
      <w:r>
        <w:t>VD Tribunal cantonal, 2020-02-25, FR</w:t>
      </w:r>
    </w:p>
    <w:p>
      <w:r>
        <w:rPr>
          <w:b/>
        </w:rPr>
        <w:t xml:space="preserve">Quelle: </w:t>
      </w:r>
      <w:r>
        <w:t>https://mcp.opencaselaw.ch/entscheid/vd_omni_AC.2019.0133</w:t>
      </w:r>
    </w:p>
    <w:p>
      <w:r>
        <w:t>FR: VD_OMNI AC.2019.0133 du 25 février 2020</w:t>
      </w:r>
    </w:p>
    <w:p>
      <w:r>
        <w:t>IT: VD_OMNI AC.2019.0133 del 25 febbraio 2020</w:t>
      </w:r>
    </w:p>
    <w:p>
      <w:pPr>
        <w:pStyle w:val="Heading2"/>
      </w:pPr>
      <w:r>
        <w:t>Regeste</w:t>
      </w:r>
    </w:p>
    <w:p>
      <w:r>
        <w:t>A.________ à I.________/Municipalité de Founex, Service du développement territorial, J.________, K.________ | Mise à l'enquête publique du 4 octobre au 2 novembre 2014 de la construction de deux complexes d'habitation de 20 appartements en tout sur une parcelle sise à l'extrémité Nord du village de Founex. Permis de construire délivré le 14 janvier 2015 puis annulé sur recours des voisins par arrêt de la CDAP du 30 avril 2018. Admission des griefs relatifs à l'absence des ruptures d'alignements de certaines façades et au mombre excessif de places de parc. Mise à l'enquête publique complémentaire d'un projet modifié tenant compte des griefs admis par la CDAP et délivrance du permis de construire le 21 mars 2019. Nouveau recours des voisins à la CDAP. Entre-temps, adoption d'une zone réservée communale couvrant toutes les zones à bâtir de la commune avec une disposition prévoyant que tout permis de construire dont la mise à l'enquête publique a débuté avant la mise à l'enquête publique de la zone réservée peut être délivré. Pas d'application arbitraire de la disposition du règlement de la zone réservée qui prévoit que tout permis de construire dont la mise à l'enquête publique a débuté avant la mise à l'enquête publique de la zone réservée peut être délivré (consid. 4). Recours admis par arrêt du TF du 7 mai 2021 (1C_206/2020).</w:t>
      </w:r>
    </w:p>
    <w:p>
      <w:pPr>
        <w:pStyle w:val="Heading2"/>
      </w:pPr>
      <w:r>
        <w:t>Erwägungen</w:t>
      </w:r>
    </w:p>
    <w:p>
      <w:r>
        <w:rPr>
          <w:b/>
        </w:rPr>
        <w:t>E. 1</w:t>
      </w:r>
    </w:p>
    <w:p>
      <w:r>
        <w:t>Les recourants contestent que le projet litigieux (soit le projet modifié à la suite de l'arrêt AC.2015.0038) puisse faire l'objet d'une enquête publique complémentaire. Ils relèvent que l'exception ménagée par la jurisprudence en faveur d'une enquête complémentaire lorsque le permis "principal" a été annulé sur recours implique que la modification d'éléments de peu d'importance permette de rendre le projet conforme à la réglementation communale. Ils font valoir que cette condition n'est pas remplie en l'espèce dès lors que, en raison de l'écoulement du temps, le projet est précisément devenu contraire à cette réglementation puisque la parcelle est passée en zone réservée inconstructible et que la modification des circonstances impose une révision de la planification en vigueur, respectivement la prise en compte de la révision du PGA en cours. a) En droit vaudois, la procédure de mise à l'enquête est notamment régie par l'art. 109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Le droit d'être entendu, tel qu'il est garanti à l'art. 29 al. 2 de la Constitution fédérale de la Confédération suisse du 18 avril 1999 (Cst.; RS 101), comprend en effet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V 125 consid. 2.1; 137 IV 33 consid. 9.2; 136 I 265 consid. 3.2, et les arrêts cités).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arrêts AC.2014.0038 du 20 août 2015 consid. 3b; AC.2014.0015 du 30 juin 2014 consid. 2b; AC.2013.0161 du 30 octobre 2013 consid. 2a; AC.2013.0180 du 17 octobre 2013 consid. 2a; AC.2013.0007 du 24 avril 2013 et les références citées).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du règlement du 19 septembre 1986 d’application de la loi sur l’aménagement du territoire et les constructions (RLATC; BLV 700.11.1). Les modifications plus importantes doivent faire l’objet d’une nouvelle enquête publique selon l’art. 109 LATC. Selon la jurisprudence, il n'y a pas lieu de soumettre à une enquête publique complémentaire des modifications apportées à un projet de construction après l'enquête publique, lorsque celles-ci tendent à supprimer ou corriger divers éléments critiqués par les opposants (cf. arrêts AC.2014.0038 précité consid. 3b; AC.2013.0161 du 30 octobre 2013 consid. 2a; AC.2013.0180 du 17 octobre 2013 consid. 2b; AC.2011.0143 du 23 décembre 2011 consid. 3a et la référence citée). Selon l'art. 72b RLATC, l'enquête complémentaire peut intervenir jusqu'à l'octroi du permis d'habiter ou d'utiliser, mais au plus tard dans les quatre ans suivant l'enquête principale (al. 1); elle ne peut porter que sur des éléments de peu d'importance, qui ne modifient pas sensiblement le projet ou la construction en cours (al. 2). Cela semble présupposer que l'enquête complémentaire ne peut intervenir qu'après qu'un permis de construire a déjà été délivré. Dans le cadre d'une enquête complémentaire, les oppositions ou recours éventuels ne peuvent porter que sur les modifications soumises à autorisation, mais ne peuvent pas remettre en cause l'entier du projet ayant fait l'objet d'un premier permis de construire (cf. arrêts AC.2014.0015 précité consid. 2b; AC.2012.0385 du 11 octobre 2013 consid. 2; AC.2012.0043, AC.2012.0265 du 17 décembre 2012 consid. 2; AC.2011.0014 du 30 septembre 2011 et les références citées). Cette particularité de l'enquête complémentaire, qui est de sauvegarder la force de chose décidée des éléments du permis déjà délivré qui ne sont pas modifiés, demeure sans effet lorsque l'enquête "principale" a abouti au refus du permis de construire. La jurisprudence prévoit néanmoins que si le recours contre un permis de construire est admis et le permis annulé, la procédure de l'enquête complémentaire peut aussi être suivie lorsque la modification d'éléments de peu d'importance permet de rendre le projet conforme à la réglementation communale (RDAF 1995 p. 287). Dans un tel cas, dès lors qu'aucun permis n'a encore été délivré, aucun élément du projet ne bénéficie de la force de chose décidée. En particulier, on ne peut dénier aux opposants le droit de faire examiner les griefs soulevés lors de l'enquête "principale" lorsque le permis de construire, refusé à l'issue de l'enquête "principale", est finalement délivré à l'issue de l'enquête "complémentaire" (cf. arrêts précités AC.2014.0015 consid. 2b; AC.2013.0180 consid. 2b; AC.2012.0385 consid. 2; AC.2012.0043, AC.2012.0265 consid. 2). b) En l’espèce, les constructeurs ont déposé un nouveau dossier complet de plans avec la nouvelle demande de permis de construire en indiquant les modifications intervenues par rapport à la première enquête. Cette manière de procéder est conforme à l’art. 72b al. 3 in fine RLATC prévoyant que " les éléments nouveaux ou modifiés devront être clairement mis en évidence dans les documents produits. " Cette exigence de forme est importante car elle permet d’apprécier l’ampleur des modifications apportées au projet par rapport à l’enquête principale et elle permet de déterminer si les conditions requises pour une enquête complémentaire sont respectées, en particulier, s’il s’agit d’éléments de peu d'importance qui ne modifient pas sensiblement le projet (art. 72b al. 2 RATC). Ainsi, les modifications qui apparaissent sur les plans sont dessinées en jaune pour les éléments supprimés par rapport à la première enquête et en rouge pour les nouveaux éléments ajoutés. Il ressort du dossier de l’enquête complémentaire que les modifications apportées aux plans de l’enquête principale sont les suivantes : adaptation de la géométrie des façades aux fins de rendre plus marquées les ruptures d'alignement exigées par l'art. 3.8 RPGA (création de décrochés en façade et toiture), diminution du nombre de places de parc, modification de la typologie de certains appartements. Ces modifications restent de peu d’importance par rapport au projet qui a fait l’objet de l’enquête principale et apportent toutes des améliorations par rapport à la situation des voisins, avec une esthétique améliorée et une diminution des places de parc. Elles entrent encore dans le cadre d’une enquête complémentaire. Pour le reste, le tribunal examinera sans restriction les griefs de fond invoqués par les recourants à l'encontre du projet.</w:t>
      </w:r>
    </w:p>
    <w:p>
      <w:r>
        <w:rPr>
          <w:b/>
        </w:rPr>
        <w:t>E. 2</w:t>
      </w:r>
    </w:p>
    <w:p>
      <w:r>
        <w:t>Les recourants soutiennent que le projet litigieux ne peut être autorisé que si la parcelle n° 878 fait partie du territoire largement bâti au sens de l'art. 36 al. 3 LAT, exigence qui ne serait pas remplie selon eux. Ils font valoir en outre que la Municipalité ne s'est prononcée que très sommairement sur ce grief, de sorte qu'il en découlerait une violation de l'obligation de motiver la décision et par conséquent de leur droit d'être entendus. a) La loi fédérale sur l'aménagement du territoire est entrée en vigueur le 1 er janvier 1980. Elle charge la Confédération, les cantons et les communes d'établir des plans d'aménagement pour celles de leurs tâches dont l'accomplissement a des effets sur l'organisation du territoire (art. 2 al. 1 LAT). Les cantons et les communes doivent ainsi élaborer des plans d'affectation, qui règlent le mode d'utilisation du sol (art. 14 al. 1 LAT) et délimitent en 1 er lieu les zones à bâtir, les zones agricoles et les zones à protéger (art. 14 al. 2 LAT). Aux termes de l'art. 15 LAT dans sa teneur au moment de l'entrée en vigueur de la LAT, les zones à bâtir comprennent les terrains propres à la construction qui sont déjà largement bâtis (let. a) ou qui seront probablement nécessaires à la construction dans les quinze ans à venir et seront équipés dans ce laps de temps (let. b). Les cantons doivent veiller à ce que les plans d'affectation soient établis à temps, mais au plus tard dans un délai de huit ans à compter de l'entrée en vigueur de la LAT, soit jusqu'au 1 er janvier 1988 (art. 35 al. 1 let. b LAT). Les plans d'affectation adoptés avant l'entrée en vigueur de la LAT conservent leur validité jusqu'à cette date (art. 35 al. 3 LAT). Ensuite, tant que le nouveau plan d'affectation n'a pas délimité des zones à bâtir, est réputée zone à bâtir provisoire la partie de l'agglomération qui est déjà largement bâtie, sauf disposition contraire du droit cantonal (art. 36 al. 3 LAT). Lorsqu'un plan d'affectation a été établi sous l'empire de la LAT, afin de mettre en oeuvre les objectifs et principes de cette législation, il existe en effet une présomption qu'il est conforme aux buts et principes de cette loi, alors que les plans d'affectation qui n'ont pas encore été adaptés aux exigences de la LAT ne bénéficient pas de cette présomption et leur stabilité n'est pas garantie (cf. art. 21 al. 1 LAT; cf. arrêt TF 1C_361/2011 du 28 juin 2012 consid. 5.1; ATF 127 I 103 consid. 6b/aa). b) aa) La question de savoir si le plan d'affectation de la Commune de Founex a été établi "sous l'empire de la LAT" au sens de la jurisprudence précitée a été examinée par le Tribunal fédéral dans un arrêt du 7 avril 2015 (1C_307/2014). A cette occasion, le Tribunal fédéral a constaté qu'on pouvait présumer que les dispositions de la LAT, non entrée en vigueur, mais déjà adoptée, avaient été prises en considération lors de l'approbation du plan d'affectation en 1979. Le tribunal de céans n'a pas de raison de s'écarter de cette appréciation. bb) Par surabondance, on peut constater que la surface de la parcelle n° 878 classée en zone de village fait a priori partie du " territoire largement bâti de l'agglomération " au sens de l' art. 36 al. 3 LAT. Sur ce point, on relève que l'ancien art. 15 LAT recourait, avant la révision de la LAT intervenue en 2012, à la notion de partie du territoire " déjà largement bâtie ". La pratique appréhendait le terme de la même manière dans les art. 15 LAT et 36 al. 3 LAT (cf. Alexander Ruch, in Commentaire pratique LAT: Planifier l'affectation, 2016, n° 33 ad art. 36). Selon la jurisprudence, la notion de "terrains déjà largement bâtis" de l'ancien art. 15 let. a LAT devait être comprise de manière étroite. Elle ne s'appliquait pas à n'importe quel groupe de constructions; il fallait que l'on soit en présence d'un milieu bâti, qui présente les caractéristiques d'une "agglomération", avec les infrastructures habituelles ("Siedlungsstruktur"). Les critères à prendre en compte étaient notamment le caractère compact de l'ensemble construit, les équipements, les liaisons avec les autres zones à bâtir ou l'infrastructure publique (cf. arrêt TF  1C_361/2011 du 28 juin 2012 consid. 5.1; ATF 132 II 218 consid. 4.1). cc) Pour contester l'appartenance de la parcelle n° 878 au " territoire largement bâti de l'agglomération " au sens de l' art. 36 al. 3 LAT, les recourants mentionnent sa localisation "en extrême périphérie", l'absence de construction préexistante et son affectation à l'agriculture. En réalité, ainsi que cela ressort des constatations faites lors de la vision locale, la parcelle litigieuse se situe dans le prolongement immédiat d'une vaste zone déjà bâtie sise au Sud correspondant pour l'essentiel au noyau bâti constituant le centre historique du village. En direction du Nord, on trouve un secteur en zone agricole suivi d'un autre secteur en zone à bâtir (zone villa). A l'Est, de l'autre côté de la route de Céligny, se trouvent également des constructions sises dans un secteur en zone agricole, secteur qui est bordé et à l'Est et au Nord par une zone équestre comprenant également des bâtiments. Dans ces circonstances, l'appartenance de la parcelle n° 878 à la zone à bâtir sous l'empire du plan des zones actuel ne saurait être remise en question. c) Il convient encore d'examiner si c'est à juste titre que les recourants invoquent une violation de leur droit d'être entendus en raison de l'insuffisance de la motivation de la décision attaquée en ce qui concerne le grief relatif au respect des exigences posées l'art. 36 al. 3 LAT lorsqu'un plan d'affectation est antérieur à l'entrée en vigueur de la LAT. aa) Tel que garanti par l'art. 29 al. 2 Cst, le droit d'être entendu implique notamment pour l'autorité l'obligation de motiver sa décision (cf. art. 42 let. c de la loi du 28 octobre 2008 sur la procédure administrative [LPA-VD: BLV 173.36]).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p. 109).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Dès lors que l'on peut discerner les motifs qui ont guidé la décision de l'autorité, le droit à une décision motivée est respecté même si la motivation présentée est erronée (ATF 141 V 557 consid. 3.2.1; TF 1B_145/2016 du 1 er juillet 2016 consid. 2). La motivation peut par ailleurs être implicite et résulter des différents considérants de la décision (ATF 141 V 557 consid. 3.2.1).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bb) A la lecture de l'opposition des recourants du 23 novembre 2018 dans le cadre de l'enquête publique complémentaire, on relève que les griefs soulevés au plan juridique étaient relativement complexes. Au chiffre 4, les recourants invoquaient essentiellement la nécessité d'un contrôle préjudiciel de la planification en vigueur en faisant valoir que le projet litigieux mettait en péril un redimensionnement correct des zones à bâtir communales. Dans ce cadre, ils mentionnaient également l'art. 36 al. 3 LAT. Dans la décision attaquée, la Municipalité s'est prononcée sur ces griefs en relevant que la parcelle litigieuse est complètement équipée et qu'elle est située dans un milieu largement bâti, de sorte qu'un déclassement n'est pas envisagé. Cette réponse, même succincte, permettait aux intéressés de comprendre le raisonnement suivi par la Municipalité en relation avec les griefs concernant la validité de la planification en vigueur. Les recourants étaient ainsi en mesure de contester la décision attaquée en connaissance de cause, ce qu'ils ont d'ailleurs fait. La motivation de la décision apparaît ainsi suffisante au regard des exigences déduites du droit d'être entendu.</w:t>
      </w:r>
    </w:p>
    <w:p>
      <w:r>
        <w:rPr>
          <w:b/>
        </w:rPr>
        <w:t>E. 3</w:t>
      </w:r>
    </w:p>
    <w:p>
      <w:r>
        <w:t>Les recourants soutiennent que le permis de construire aurait dû être refusé sur la base d'un contrôle préjudiciel du plan d'affectation en vigueur. a) Selon la jurisprudence (cf. ATF 144 II 41 consid. 5.1),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et que l'intérêt public au maintien des restrictions imposées aux propriétaires concernés par la planification pourrait avoir disparu.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L'art. 21 al. 2 LAT prévoit un examen en deux étapes: la première déterminera si les circonstances se sont sensiblement modifiées au point de justifier un réexamen du plan; si le besoin s'en fait alors réellement sentir, il sera adapté, dans une deuxième étape. Dans l'ATF 144 II 41 précité, le Tribunal fédéral a constaté que la réduction de zones surdimensionnées relève d'un intérêt public important, susceptible d'avoir, sur le principe, le pas sur l'intérêt public à la stabilité des plans ainsi que sur les intérêts privés des propriétaires concernés. La réalisation de cet objectif, expressément prévu par la novelle du 15 juin 2012 (art. 15 al. 2 LAT), ne saurait cependant constituer le seul critère pertinent pour déterminer la nécessité d'entrer en matière sur une demande de révision d'un plan d'affectation dans le cadre d'une procédure d'autorisation de construire. En effet, si le régime transitoire prévu par la novelle du 15 juin 2012, à l'art. 38a al. 2 LAT, interdit de façon immédiate l'extension de la zone à bâtir du canton, dans l'attente de l'adoption de plans directeurs conformes au nouveau droit, il ne prohibe pas, dans cette intervalle, la mise en œuvre de planifications d'affectation existantes conformes à la LAT; il ne définit pas non plus précisément quelles parcelles seront concernées par le redimensionnement de la zone à bâtir, choix qui relève dans une large mesure du pouvoir d'appréciation des autorités locales de planification (cf. art. 2 al. 3 LAT et art. 2 et 3 OAT). Dès lors, pour que l'entrée en vigueur de la novelle du 15 juin 2012 constitue une modification des circonstances qui, sur le plan législatif, puisse être qualifiée, au stade de la première étape de sensible au sens de l'art. 21 al. 2 LAT, il faut que s'y ajoutent d'autres circonstances, parmi lesquelles la localisation de la parcelle par rapport à la zone à bâtir existante, le niveau d'équipement ou encore l'âge du plan (ATF 144 II 41 consid. 5.2; cf. aussi arrêts TF 1C_213/2018 du 23 janvier 2019; 1C_308/2017 du 4 juillet 2018). Dans l'ATF 144 II 41, le Tribunal fédéral mentionne à titre d'exemple d'une situation justifiant un contrôle incident du plan dans le cadre d'une procédure de permis de construire un projet prévu dans une petite zone constructible isolée ne répondant a priori pas aux exigences de densification et de développement du bâti vers l'intérieur. Dans une affaire concernant la commune d'Oron (commune surdimensionnée où l'instauration d'une zone réservée était envisagée sur l'ensemble du territoire communal), le Tribunal fédéral a confirmé le refus d'effectuer un contrôle incident du plan en relevant que, bien que bordée de terres agricoles, la parcelle destinée à accueillir le projet de construction était située sur une langue de terrain d'ores et déjà bâtie avec un arrêt de bus au centre du village situé à environ 500 m (cf. arrêt TF 1C_244/2017 du 17 avril 2018 consid. 3.2.1). Dans une affaire concernant la commune de Concise, le Tribunal fédéral a en revanche considéré que le Tribunal cantonal aurait dû entrer en matière sur un réexamen du plan en raison de l'ancienneté de ce dernier, en raison du fait que la localisation de la zone industrielle où était prévue la construction était problématique car elle se trouvait excentrée par rapport au village et au sein d'une zone agricole et viticole et en raison du fait que la commune avait ultérieurement été inscrite à l'inventaire fédéral des sites construits d'importance nationale (cf. arrêt TF 1C_308/2017 du 4 juillet 2018 consid. 3.2.2). b) En l'occurrence, on a vu que la parcelle litigieuse, qui est équipée, se trouve dans le prolongement immédiat d'une vaste zone déjà bâtie sise au Sud correspondant pour l'essentiel au noyau bâti constituant le centre historique du village. Ce bien-fonds est par conséquent relativement proche du centre villageois. Une zone à bâtir se trouve un peu plus loin en direction du Nord ainsi que des constructions à l'Est, de l'autre côté de la route qui borde la parcelle. On ne saurait par conséquent suivre les recourants lorsqu'ils soutiennent que la parcelle n° 878 n'entretient aucun lien avec le bâti voisin et qu'elle est entourée de terrains en zone agricole. On peut également relever, avec les constructeurs, que la réalisation sur cette parcelle d'une construction utilisant pleinement les droits à bâtir de la zone village présentera l'avantage de "terminer" le village avec des constructions présentant un gabarit correspondant à ce type de zone et conférant par conséquent un aspect plus "villageois" à ce secteur que les villas (dont celles des recourants) implantées actuellement à l'extrémité de cette zone bâtie. En tous les cas, le maintien de la parcelle n° 878 dans la zone à bâtir n'apparaît pas d'emblée contraire aux principes de concentration de l'urbanisation et de densification du milieu bâti poursuivis par la LAT et on ne saurait suivre les recourants lorsqu'ils soutiennent que le projet contesté contribuerait au mitage du territoire. Comme la vision locale l'a montré, le maintien de cette parcelle en zone à bâtir ne soulève au surplus pas de problème particulier en ce qui concerne la protection du paysage et de la nature (contrairement à ce qui pourrait être le cas si on se trouvait dans les secteurs du territoire communal proches ou riverains du lac Léman). La question des surfaces d'assolement invoquées par les recourants ne saurait en outre imposer un déclassement de la parcelle n° 878 dès lors que, en l'état, celle-ci n'est pas incluse dans ces surfaces. Les constructeurs ont au demeurant fait valoir sur ce point que la situation en contre-bas du bien-fonds a conduit à un refus de l'Office fédéral de l'agriculture responsable du cadastre viticole, qui a considéré que le caractère inondable du terrain excluait l'exploitation d'une vigne à cet endroit. A cela s'ajoute que, comme le Tribunal fédéral l'a constaté dans un arrêt récent, il n'y a pas lieu en l'espèce de présumer des choix à venir du planificateur communal quant à l'identification des surfaces qui devront, le cas échéant, être déclassées (cf. arrêt TF 1C_88/2019 du 23 septembre 2019 consid. 4.2). L'autorité locale de planification jouit en effet d'un large pouvoir d'appréciation lorsqu'il s'agit d'adapter sa planification d'affectation aux exigences de la LAT, en particulier quant aux choix, dans un contexte de surdimensionnement, des portions de son territoire devant être soustraites de la zone à bâtir (cf. arrêt TF 1C_156/2019 du 23 septembre 2019 concernant la commune de Gilly consid. 2.4.5 qui se réfère aux art. 2 al. 3 LAT et 2 et 3 OAT). Or, les responsables de la commune de Founex – commune qui semble relativement avancée dans la procédure d'élaboration de son plan d'affectation –ont affirmé de manière constante que la parcelle litigieuse sera maintenue en zone à bâtir. Celle-ci a ainsi été intégrée dans le territoire urbanisé qui a été défini dans le cadre de la "vision communale" de septembre 2018 soumise au SDT. La parcelle est en outre maintenue en zone à bâtir dans l'avant-projet de nouveau PGA de mai 2019. Dans ces conditions, on ne saurait sans autre conclure qu'il serait hautement vraisemblable que la parcelle n° 878 devrait, en application de la législation révisée, être rendue à la zone agricole à l'occasion de la révision de la planification communale, ce qui pourrait justifier d'entrer en matière sur un réexamen du plan en vigueur. Une telle conclusion ne saurait notamment être déduite du seul fait que la commune de Founex présente un surdimensionnement relativement important et que la parcelle n° 878 présente un potentiel non négligeable de réduction de ce surdimensionnement. Le surdimensionnement n'est en effet pas le seul élément à prendre en considération. Par exemple, la densification vers l'intérieur constitue aussi un principe cardinal de l'aménagement du territoire (cf. arrêt TF 1C_156/2019 consid. 2.4.2). Dans l'arrêt 1C_156/2019 (confirmant l'arrêt AC.2017.0281, AC.2017.0282), le Tribunal fédéral a ainsi confirmé la délivrance d'un permis de construire seize logements dans une commune surdimensionnée (qui avait ultérieurement mis à l'enquête une zone réservée sur l'ensemble du territoire communal), ceci alors que les chantiers en cours impliquaient que le nombre maximal d'habitants pour l'horizon 2036 était déjà atteint. A cette occasion, le Tribunal fédéral a notamment relevé qu'on ne voyait pas en quoi la révision du PGA était compromise par le projet de construction, rien au dossier ne permettant d'affirmer que la réduction nécessaire de la zone à bâtir ne pourrait intervenir dans d'autres portions du territoire communal. c) Vu ce qui précède, il y a lieu de constater que les conditions imposant un contrôle incident du plan ne sont pas remplies. Pour les raisons mentionnés plus haut, on peut également relever qu'on ne saurait faire grief à la Municipalité de ne pas avoir refusé le permis de construire en application de l'art. 47 al. 1 LATC au motif que le projet compromettrait la modification en cours du plan général d'affectation communal.</w:t>
      </w:r>
    </w:p>
    <w:p>
      <w:r>
        <w:rPr>
          <w:b/>
        </w:rPr>
        <w:t>E. 4</w:t>
      </w:r>
    </w:p>
    <w:p>
      <w:r>
        <w:t>Les recourants invoquent une violation, respectivement une application arbitraire de l'art. 3 al. 3 RZR. a) L'art. 3 al. 3 RZR prévoit que tout permis de construire dont la mise à l'enquête publique a débuté avant la mise à l'enquête publique de la zone réservée peut être délivré. b) On relève d'emblée que les constructeurs peuvent se prévaloir de l'art. 3 al. 3 LZR dès lors que l'enquête publique principale a eu lieu avant la mise à l'enquête publique de la zone réservée. L'annulation du permis de construire par le Tribunal cantonal dans son arrêt du 30 avril 2018, suivie de la modification du projet pour répondre aux griefs admis par cet arrêt et de la mise à l'enquête publique complémentaire de ce projet modifié, ne saurait remettre en cause ce constat. Sur ce point, l'interprétation municipale de l'art. 3 al. 3 RZR selon lequel doit être prise en considération la date de l'enquête principale ne prête pas le flanc à la critique. Au surplus, les recourants ne sauraient être suivis lorsqu'ils soutiennent que l'on devrait raisonner comme dans la cause AC.2018.0273. Cette affaire concernait un projet de construction ayant bénéficié antérieurement d'une autorisation préalable d'implantation pour lequel l'enquête publique en vue de l'octroi du permis de construire avait eu lieu après la mise à l'enquête publique de la zone réservée. La situation était ainsi différente du cas d'espèce où l'enquête principale en vue de l'octroi du permis de construire a eu lieu avant la mise à l'enquête publique de la zone réservée. Comme relevé dans l'arrêt précité, une disposition de la teneur de l'art. 3 al. 3 RZR vise des projets complets, établis, présentés et mis à l'enquête publique avant le début formel d'une procédure de planification, ce qui est le cas en l'espèce. c) Dans l'arrêt AC.2018.0010 concernant le recours formé par A.________ et consorts contre l'art. 3 al. 3 RZR, le Tribunal cantonal a relevé que cette disposition n'a pas pour conséquence que tous les projets mis à l'enquête publique avant la publication de la zone réservée doivent nécessairement être autorisés. L'art. 3 al. 3 RZR confère au contraire à la Municipalité un pouvoir d'appréciation pour décider si un projet, qui ne peut a priori pas être autorisé dès lors qu'il concerne une parcelle comprise dans la zone réservée, peut malgré tout être admis dès lors qu'il a été mis à l'enquête publique avant la publication de la zone réservée. Cette disposition n'empêche ainsi pas la Municipalité de refuser un permis de construire pour un projet qui, par hypothèse, compromettrait de manière évidente le redimensionnement de la zone à bâtir. Dans l'arrêt AC.2018.0010, il est ainsi relevé que, telle que rédigée, la disposition contestée peut être appliquée de manière à ne pas mettre en péril l'objectif d'intérêt public visé par l'instauration d'une zone réservée consistant à maintenir la liberté de planification et de décision des autorités communales, ainsi qu'à juguler le risque que les propriétaires se pressent d'utiliser les possibilités offertes par la planification en vigueur et fassent ainsi obstruction à une future réduction de la zone à bâtir (cf. arrêt AC.2018.0010 du 23 novembre 2018 consid.2a). d) En l'occurrence, il est vrai que la délivrance du permis de construire litigieux, compte tenu du nombre de logements autorisés, va augmenter les difficultés liées au redimensionnement de la zone à bâtir de Founex. On ne saurait toutefois considérer que la réalisation de ce projet "compromettrait de manière évidente le redimensionnement de la zone à bâtir" et que, pour ce motif, la Municipalité a abusé du large pouvoir d'appréciation et de la latitude de jugement dont elle dispose dans l'interprétation d'une disposition telle que l'art. 3 al. 3 RZR. Même si ceci fait l'objet de discussions avec l'autorité cantonale, il apparaît qu'une réduction adéquate de la zone à bâtir, quand bien même elle ne supprimera probablement pas l'entier de la surcapacité d'accueil, devrait pouvoir être mise en œuvre en agissant sur d'autres secteurs du territoire communal. A cet égard, il convient de rappeler que la commune de Founex a mis à l'enquête déjà au mois d'octobre 2016 une zone réservée qui couvre toutes les zones à bâtir d'habitation et mixte de la commune, ce qui a évité que les propriétaires se pressent d'utiliser les possibilités offertes par la planification en vigueur et fassent ainsi obstruction à une future réduction de la zone à bâtir. La mise en place de la zone réservée garantit ainsi aux autorités de planification une marge de manœuvre appréciable dans le cadre de l'élaboration du nouveau plan général d'affectation. Il ressort des déterminations du SDT du 9 décembre 2019 que, pour que le SDT accepte l'existence d'un surdimensionnement résiduel incompressible, il faudra notamment au préalable examiner la situation de toutes les parcelles situées hors du territoire urbanisé en frange de localité, dont ferait partie la parcelle n°878. On ne saurait effectivement exclure qu'un examen de la situation de cette parcelle dans le cadre de l'étude du nouveau PGA aboutisse au constat que celle-ci doit être sortie de la zone à bâtir. Cela étant, ainsi que cela ressort de l'analyse faite au considérant 3 ci-dessus, on ne saurait sans autre considérer qu'un déclassement serait "hautement vraisemblable", ceci compte tenu notamment du fait que l'autorité communale a clairement indiqué son intention de maintenir cette parcelle en zone à bâtir, ceci à un stade relativement avancé de la procédure de modification du PGA. Le seul fait qu'un dézonage de la parcelle n° 878 puisse théoriquement entrer en considération ne saurait par conséquent empêcher la Municipalité de faire usage de l'art. 3 al. 3 RZR. On relève également que le DTE, dont dépend le SDT, a approuvé l'inclusion de l'art. 3 al. 3 dans le règlement de la zone réservée de Founex, admettant par là que d'anciens projets de construction puissent être autorisés, quand bien même ils sont prévus sur des parcelles susceptibles d'être dézonées vu le surdimensionnement de la commune. On peut partir de l'idée que le DTE a accepté cette disposition notamment pour des motifs liés à la bonne foi, afin de permettre la réalisation de projets qui avaient été complètement élaborés – avec les coûts que cela implique – avant que se pose la question de la réduction du surdimensionnement des zones à bâtir et de la mise en œuvre de la zone réservée. Or, c'est précisément le cas du projet de construction litigieux puisque celui-ci a été mis à l'enquête plusieurs années avant la mise à l'enquête de la zone réservée. Ceci confirme qu'on ne saurait déduire des considérations faites par le SDT dans sa prise de position du 9 décembre 2019 que la Municipalité aurait abusé du pouvoir d'appréciation dont elle bénéficie dans l'application de l'art. 3 al. 3 RZR en délivrant le permis de construire. Au demeurant, dans un courrier adressé au conseil des recourants le 20 novembre 2018 (courrier qui constituait une réponse à une requête formule par le conseil des recourants le 9 novembre 2018 tendant à ce que le SDT formulée une opposition dans le cadre de l'enquête publique complémentaire, requête invoquant le risque que le projet faisait courir en ce qui concernait le redimensionnement de la commune de Founex), le chef du SDT avait clairement fait savoir que son service ne ferait pas opposition et qu'il appartenait à la seule Municipalité de se prononcer sur la demande de permis de construire en application de la réglementation de la zone réservée (soit l'art. 3 al. 3 RZR). e) Vu ce qui précède, les griefs des recourants relatifs à l'application de l'art. 3 al. 3 RZR par la Municipalité doivent également être écartés.</w:t>
      </w:r>
    </w:p>
    <w:p>
      <w:r>
        <w:rPr>
          <w:b/>
        </w:rPr>
        <w:t>E. 5</w:t>
      </w:r>
    </w:p>
    <w:p>
      <w:r>
        <w:t>Il résulte de ce qui précède que le recours doit être rejeté et la décision municipale du 21 mars 2019 être confirmée. Vu le sort du recours, les frais de la cause sont mis à la charge des recourants (art. 49 LPA-VD). Ces derniers verseront en outre des dépens à la Commune de Founex et aux constructeurs, qui ont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