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AC.2019.0109 vom 19. Februar 2020</w:t>
      </w:r>
    </w:p>
    <w:p>
      <w:r>
        <w:t>VD Tribunal cantonal, 2020-02-19, FR</w:t>
      </w:r>
    </w:p>
    <w:p>
      <w:r>
        <w:rPr>
          <w:b/>
        </w:rPr>
        <w:t xml:space="preserve">Quelle: </w:t>
      </w:r>
      <w:r>
        <w:t>https://mcp.opencaselaw.ch/entscheid/vd_omni_AC.2019.0109</w:t>
      </w:r>
    </w:p>
    <w:p>
      <w:r>
        <w:t>FR: VD_OMNI AC.2019.0109 du 19 février 2020</w:t>
      </w:r>
    </w:p>
    <w:p>
      <w:r>
        <w:t>IT: VD_OMNI AC.2019.0109 del 19 febbraio 2020</w:t>
      </w:r>
    </w:p>
    <w:p>
      <w:pPr>
        <w:pStyle w:val="Heading2"/>
      </w:pPr>
      <w:r>
        <w:t>Regeste</w:t>
      </w:r>
    </w:p>
    <w:p>
      <w:r>
        <w:t>A.________, B.________, C.________, D.________/Municipalité de Roche, E.________ | Projet de construire un ensemble résidentiel de 70 logements avec parking souterrain de 85 places sur des parcelles propriété de la commune. Permis de construire annulé par la CDAP (AC.2017.0192 du 29 août 2018). La constructrice soumet à l'enquête complémentaire un projet modifié. Le grief selon lequel la municipalité ne pouvait délivrer le permis de construire sans procéder à un contrôle incident de la planification communale compte tenu du surdimensionnement des zones à bâtir est rejeté. En effet, selon la jurisprudence, l'entrée en vigueur du nouvel art. 15 al. 2 LAT ne suffit pas, à lui seul, à remplir les conditions d'un réexamen des plans au sens de l'art. 21 al. 2 LAT; il faut que s'y ajoutent d'autres circonstances, notamment la localisation de la parcelle par rapport à la zone à bâtir existante, le niveau d'équipement de la parcelle et la date d'entrée en vigueur du plan d'affectation. Comme l'avait jugé la CDAP dans son arrêt AC.2017.0192, il n'y a pas de motif de refuser le permis de construire en procédant à un contrôle incident de la planification, vu les circonstances, notamment la situation de la parcelle dans un environnement largement bâti à proximité immédiate du centre du village, et vu qu'un potentiel dépassement du taux de croissance ne résulte pas de permis délivrés au mépris de l'objectif de redimensionnement des zones à bâtir. Dans la présente affaire, les recourants se prévalent du fait que le projet nécessite l'abattage d'arbres protégés, de la présence d'une zone de danger naturel avec danger résiduel faible, d'un accès insuffisant ou d'une capacité insuffisante des collecteurs. Or, il ne s'agit pas d'éléments que la jurisprudence ait déjà pu admettre comme motif de procéder au contrôle incident du plan d'affectation à l'occasion de la délivrance d'un permis de construire (cons. 3). Recours rejeté. Recours au TF admis par arrêt 1C_190/2020 du 9 février 2021.</w:t>
      </w:r>
    </w:p>
    <w:p>
      <w:pPr>
        <w:pStyle w:val="Heading2"/>
      </w:pPr>
      <w:r>
        <w:t>Erwägungen</w:t>
      </w:r>
    </w:p>
    <w:p>
      <w:r>
        <w:rPr>
          <w:b/>
        </w:rPr>
        <w:t>E. 1</w:t>
      </w:r>
    </w:p>
    <w:p>
      <w:r>
        <w:t>A l'audience, l'avocate des recourants s'est opposée à l'audition de témoins. Cette intervention est en réalité sans objet. En effet, que ce soit en audience d'instruction (art. 27 al. 2 LPA-VD) ou aux débats (art. 27 al. 3 LPA-VD), les parties peuvent être entendues à titre de moyen de preuve (art. 29 al. 1 let. a LPA-VD) et peuvent se faire assister (art. 16 al. 1 LPA-VD). Devant la Cour de droit administratif et public, elles sont le plus souvent assistées par les personnes de leur choix, en général par un mandataire qui peut être avocat mais aussi par tout mandataire ou spécialiste de leur choix tel qu'un architecte, un géomètre ou un autre professionnel, comme en l'espèce un paysagiste. Ces mandataires s'expriment au nom de la partie et ne sont pas des témoins au sens des art. 29 al. 1 let. c et 34 al. 2 let. b LPA-VD.</w:t>
      </w:r>
    </w:p>
    <w:p>
      <w:r>
        <w:rPr>
          <w:b/>
        </w:rPr>
        <w:t>E. 2</w:t>
      </w:r>
    </w:p>
    <w:p>
      <w:r>
        <w:t>a) Les recourants dénoncent l'existence d'un potentiel conflit d'intérêts, dû au fait que c'est la Commune de Roche, laquelle a promis-vendu les deux parcelles à la constructrice, qui rend la décision de permis de construire. Selon eux, l'autorité intimée ne pouvait pas refuser le permis de construire d'un objet promis-vendu, sauf à porter atteinte à ses propres intérêts; elle manque donc d'objectivité et n'aurait pas dû statuer. Il y aurait lieu de renvoyer le dossier à l'administration cantonale pour que celle-ci mette en place un système permettant de se substituer à l'autorité communale en présence d'un grave conflit d'intérêt patent. Ils demandent la production des actes liant la constructrice et la Commune de Roche, ainsi que le préavis et la décision du Conseil communal habilitant la Commune de Roche à vendre le terrain et les échanges de correspondances qui ont eu lieu à propos de cette vente afin de comprendre la portée exacte des engagements successifs pris par la Commune de Roche en faveur de la constructrice. b) L'art. 9 LPA-VD prévoit les motifs de récusation: "Toute personne appelée à rendre ou à préparer une décision ou un jugement doit se récuser: a. si elle a un intérêt personnel dans la cause; b. si elle a agi dans la même cause à un autre titre, notamment comme membre d'une autorité, comme conseil d'une partie, comme expert ou comme témoin; c.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supprime pas le motif de récusation; d. si elle est parente ou alliée en ligne directe ou, jusqu'au troisième degré inclus, en ligne collatérale avec une partie, son mandataire ou une personne qui a agi dans la même cause comme membre de l'autorité précédente; e. si elle pourrait apparaître comme prévenue de toute autre manière, notamment en raison d'une amitié étroite ou d'une inimitié personnelle avec une partie ou son mandataire." La partie qui souhaite demander la récusation d'une autorité ou de l'un de ses membres doit le faire dès connaissance du motif de récusation (art. 10 al. 2 LPA-VD). Selon la jurisprudence constate (v. récemment ATF 1C_44/2019 du 29 mai 2019, consid. 4.2 et 4.3), les dispositions sur la récusation sont, en principe, moins sévères pour les membres des autorités administratives et gouvernementales que pour les autorités judiciaires (ATF 140 I 326 consid. 5.2 p. 329; 137 II 431 consid. 5.2 p. 452). Contrairement à l'art. 30 al. 1 Cst., qui ne concerne que les procédures judiciaires, l'art. 29 al. 1 Cst. n'impose en effet pas l'indépendance et l'impartialité comme maxime d'organisation d'autorités gouvernementales, administratives ou de gestion et n'offre pas, dans ce contexte, une garantie équivalente à celle applicable aux tribunaux (cf. ATF 125 I 209 consid. 8a; arrêts 2C_975/2014 du 27 mars 2015 consid. 3.2; 2C_127/2010 du 15 juillet 2011 consid. 5.2). Une demande de récusation doit en principe être dirigée contre des personnes physiques déterminées - susceptibles de connaître une situation de conflit d'intérêts privés - et non contre une autorité dans son ensemble (cf. ATF 122 II 471 consid. 3b p. 477). La récusation d'une autorité in corpore doit ainsi rester l'exception si l'on ne veut pas vider la procédure et la réglementation de l'administration de son sens: tel est a fortiori le cas lorsque la récusation vise à relever une autorité entière des tâches qui lui sont attribuées par la loi et qu'aucune autre autorité ordinaire ne peut reprendre ses fonctions, à moins que la demande ne soit dirigée contre chacun des membres de cette autorité pris individuellement (arrêt 1C_555/2015 du 30 mars 2016 consid. 4.1 et les références). Selon la jurisprudence constante (récemment: CDAP, AC.2016.0013 du 9 octobre 2017, consid.3), les représentants d'une commune ne doivent pas, par principe, se récuser lorsqu'ils statuent sur des projets de construction dont leur commune est le maître d'œuvre; ce faisant ils poursuivent en effet des intérêts publics et n'agissent pas en fonction de leurs intérêts personnels (ATF 107 Ia 135 consid. 2b; 1C_555/2015 du 30 mars 2016 consid. 4.1.; 1C_278/2010 du 31 janvier 2011 consid. 2.2: CDAP arrêt AC.2010.0314 du 21 juin 2012 consid. 1 et les références citées). c) En l'espèce, au vu de la jurisprudence précitée, le moyen des recourants doit être rejeté, de même que leur demande de production de documents qui y sont relatifs.</w:t>
      </w:r>
    </w:p>
    <w:p>
      <w:r>
        <w:rPr>
          <w:b/>
        </w:rPr>
        <w:t>E. 3</w:t>
      </w:r>
    </w:p>
    <w:p>
      <w:r>
        <w:t>a) Les recourants font valoir que l'autorité intimée ne pouvait délivrer l'autorisation contestée sans procéder à un contrôle incident de la planification communale compte tenu du surdimensionnement des zones à bâtir. Selon les recourants, la municipalité aurait dû refuser le permis de construire en se fondant sur le nouvel art. 47 al. 1 de la loi du 4 décembre 1985 sur l'aménagement du territoire et les constructions (LATC; RSV 700.11) afin de conserver une marge de manœuvre pour redimensionner ses zones à bâtir. Les recourants se prévalent notamment du fait que la Commune de Roche aurait déjà dépassé le potentiel de croissance maximal fixé par le plan directeur cantonal (PDCn) pour l'horizon 2036 compte tenu des permis récemment délivrés, si bien qu'elle n'aurait plus de marge de manœuvre pour redimensionner ses zones à bâtir. b) Il s'agit d'un argument que les recourants avaient déjà fait valoir dans leur recours contre les décisions de la municipalité du 6 avril 2017. Dans son arrêt AC.2017.0192 du 29 août 2018, le tribunal avait jugé ce qui suit (consid. 2): "a) Selon la jurisprudence du Tribunal fédéral,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de la loi fédérale du 22 juin 1979 sur l'aménagement du territoire (LAT; RS 700) sont réunies et que l'intérêt public au maintien des restrictions imposées aux propriétaires concernés par la planification pourrait avoir disparu (cf. ATF 121 II 317 consid. 12c).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(cf. ATF 127 I 103 consid. 6b). Le Tribunal fédéral a par exemple admis que l'entrée en vigueur de l'art. 75b Cst limitant la proportion de résidences secondaires constituait un changement de circonstances pouvant justifier le contrôle préjudiciel d'une planification (ATF 140 II 25; TF 1C_568/2014 du 13 janvier 2016). L'art. 21 al. 2 LAT prévoit un examen en deux étapes: la première déterminera si les circonstances se sont sensiblement modifiées au point de justifier un réexamen du plan; si le besoin s'en fait alors réellement sentir, il sera adapté, dans une deuxième étape (cf. ATF 140 II 25 consid. 3; TF 1C_326/2016 du 7 décembre 2017 consid. 5 et réf. citées). Selon l'art. 15 LAT, dans sa version révisée le 15 juin 2012, les zones à bâtir sont définies de telle manière qu'elles répondent aux besoins prévisibles pour les quinze années suivantes (al. 1); les zones à bâtir surdimensionnées doivent être réduites (al. 2). L'art. 8a LAT prévoit que, dans le domaine de l'urbanisation, le plan directeur définit notamment la manière d'assurer la conformité des zones à bâtir aux conditions de l'art. 15 (al. 1 let. d). Les dispositions transitoires du nouveau droit sont prévues par l'art. 38a LAT, qui impose aux cantons d'adapter leurs plans directeurs à l'art. 8a al. 1 LAT dans les cinq ans – à savoir jusqu'au 1er mai 2019 – (al. 1) et prévoit que la surface totale des zones à bâtir légalisées ne doit pas augmenter dans le canton concerné jusqu’à l’approbation du plan directeur adapté en conformité avec l’art. 8a LAT (al. 2; voir aussi les art. 5a al. 4 et 52a de l'ordonnance du Conseil fédéral du 2 avril 2014 entrée en vigueur le 1er mai suivant). La mesure A11 ("Zones d'habitation et mixtes") de la 4ème adaptation du Plan directeur cantonal (PDCn), adoptée par le Grand Conseil le 20 juin 2017 et approuvée sous réserve par le Conseil fédéral le 31 janvier 2018, prévoit à son al. 1 que les communes évaluent, avant de soumettre au canton tout plan d'affectation, la nécessité de redimensionner leurs zones à bâtir en vérifiant l'adéquation entre la capacité d'accueil en habitants et la croissance démographique projetée, limitée par type d'espace du projet de territoire cantonal. Un tableau définit la croissance annuelle maximale par type d'espace. Dans les périmètres des centres locaux, la croissance annuelle maximale est de 1,5 % de la population en 2016. S'agissant des villages et quartiers hors centre, la croissance annuelle maximale est de 0,75 % de la population en 2015. Selon l'al. 2 de la mesure A11, les communes qui doivent redimensionner leurs zones à bâtir révisent leur plan d'affectation et soumettent leur projet à l'approbation du canton au plus tard cinq ans après l'adoption du PDCn par le Grand Conseil. Jusqu'à cette date, les communes peuvent utiliser le 31 décembre 2036 comme horizon de planification. Pour répondre aux besoins à quinze ans, les communes, dans l'ordre, réaffectent les terrains excédant les besoins ou peu adéquats au développement (ch. 1), densifient le territoire urbanisé (ch. 2), mettent en valeur les réserves et les friches, notamment par la densification (ch. 3). Le Tribunal fédéral a précisé récemment (arrêts 1C_326/2016 du 7 décembre 2017 consid. 5, publication ATF prévue; 1C_244/2017 du 17 avril 2018 consid. 3.1.) que, même si la réduction de zones surdimensionnées relève d'un intérêt public important, la réalisation de cet objectif ne saurait constituer le seul critère pertinent pour déterminer la nécessité d'entrer en matière à titre exceptionnel sur un contrôle incident d'un plan d'affectation dans le cadre d'une procédure d'autorisation de construire (art. 21 al. 2 LAT). Pour que l'entrée en vigueur de la novelle du 15 juin 2012 constitue une modification des circonstances qui, sur le plan législatif, puisse être qualifiée de sensible au sens de l'art. 21 al. 2 LAT, il faut que s'y ajoutent d'autres circonstances. Parmi celles-ci se trouvent notamment la localisation de la parcelle par rapport à la zone à bâtir existante, le niveau d'équipement de la parcelle et la date d'entrée en vigueur du plan d'affectation (TF 1C_326/2016 du 7 décembre 2017 précité consid. 5.2; 1C_244/2017 du 17 avril 2018 consid. 3.1.2; ATF 130 II 25 consid. 3.1). b) L'art. 77 al. 1 LATC prévoit que le permis de construire peut être refusé par la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 Le refus du permis de construire sur la base de cet article s'apparente à une mesure provisionnelle qui doit empêcher que la réalisation d'un projet conforme à une réglementation devenue inadaptée ne compromette la révision de cette dernière (TF 1C_197/2009 du 28 août 2009 consid. 5.1). L’application de l’art. 77 LATC suppose que l’intention de réviser la réglementation en vigueur ait fait l’objet d’un début de concrétisation, au moins sous la forme d'études préliminaires (TF 1C_694/2013 du 31 janvier 2014 consid. 2.2; 1C_197/2009 du 28 août 2009 consid. 5.1; arrêts AC.2008.0230 du 18 septembre 2009 consid. 3a et b; AC.2009.0030 du 6 août 2009 consid. 1a; AC.2008.0074 du 27 mars 2009 consid.</w:t>
      </w:r>
    </w:p>
    <w:p>
      <w:r>
        <w:rPr>
          <w:b/>
        </w:rPr>
        <w:t>E. 5</w:t>
      </w:r>
    </w:p>
    <w:p>
      <w:r>
        <w:t>a) Les recourants reprochent à l'autorité intimée de ne pas avoir à nouveau procédé à une pesée des intérêts concernant l'abattage d'arbres, dès lors que, selon le plan de compensation approuvé le 12 février 2019, un plus grand nombre d'arbres protégés que celui initialement prévu seront abattus. Ils relèvent que les trois études produites par les différentes parties soulignent les qualités écologiques des arbres à abattre. Ils reprochent à l'autorité intimée d'autoriser l'abattage de deux arbres qui pourraient, selon l'étude mandatée par la constructrice, être préservés malgré la réalisation du projet. S'agissant des mesures compensatoires, ils relèvent que celles qui ressortent de la décision municipale ne sont pas suffisamment précises, et que si la constructrice a certes produit en cours de procédure l'étude du bureau J.________ qui contient des propositions d'amélioration du projet sur ce point, dites propositions ne figurent toutefois pas dans le plan de compensation soumis à l'enquête publique. Enfin, ils relèvent que le bureau H.________ juge, dans son avis du 23 décembre 2019, que dites mesures compensatoires sont insuffisantes. b) Il est vrai qu'initialement (cf. arrêt AC.2017.0192 du 29 août 2018 consid. 4c), la décision d'abattage concernait onze arbres (tous situés sur la parcelle 744). Toutefois, le plan de compensation des abattages mis à l'enquête complémentaire prévoit désormais d'abattre également quatre bouleaux situés sur la parcelle 9 (dont l'étude du bureau J.________ indique qu'au vu de leur sénescence avancée et de leur mauvais état sanitaire, il est recommandé de les abattre). Par ailleurs, il comptabilise différemment certains arbres: ainsi il compte comme deux sujets un bouleau bifide, de même qu'un érable sycomore et ses rejets (alors que chacun de ces arbres était comptabilisé comme un seul arbre dans le plan de situation de l'enquête initiale). Ce sont les raisons pour lesquelles le nombre d'arbres à abattre selon le plan des abattages mis à l'enquête complémentaire s'élève désormais à dix-huit. Toutefois, suite à l'étude du bureau J.________ qui a relevé que deux arbres (un érable et un frêne) sont situés à une distance suffisante de la construction projetée pour être conservés, ceux-ci ne seront pas abattus. (Une erreur de plume figure toutefois dans la liste des arbres existants, à la page 20 de l'étude, qui indique que c'est un micocoulier et un bouleau blanc qui peuvent être conservés; il convient toutefois de se référer aux pages 6, 7 et 17 de l'étude, dont il ressort que ce sont bien l'érable et le frêne précités qui doivent être maintenus). Ce sont donc seize arbres qui devront être abattus. On rappelle que la municipalité avait procédé à une pesée des intérêts concernant l'abattage des arbres, comme relevé au considérant 4 de l'arrêt AC.2017.0192 de la CDAP du 29 août 2018: "Vu l'implantation du bâtiment prévu, qui s'étend pratiquement d'un côté à l'autre de la future parcelle 144, il n'est pas possible de maintenir les arbres protégés par la règlementation communale. Compte tenu de la situation de la parcelle et de l'objectif de densification du milieu bâti, la Municipalité n'a pas excédé son large pouvoir d'appréciation en estimant que l'utilisation rationnelle des droits à bâtir l'emportait en l'espèce sur la protection des arbres présents sur la parcelle." Par ailleurs, l'étude du bureau J.________ mandaté par la constructrice constitue un document pertinent et complet: elle contient un relevé de l'état sanitaire de tous les arbres situés sur les parcelles 9 et 744, ainsi que les plans sur lesquels figure l'emplacement de chaque arbre qui sera planté à titre de compensation, de même que l'emplacement des arbustes. Elle émet différentes suggestions visant à ménager ou restaurer autant que possible les fonctionnalités biologiques sur les deux parcelles. Elle propose ainsi de planter une prairie fleurie sur la surface du parking souterrain, et des plantations arbustives et arborées en partie indigènes. Ce sont d'ailleurs ses auteurs qui ont proposé de conserver un érable et un frêne qui étaient initialement destinés à être abattus. Cette étude faisant désormais partie intégrante de la décision municipale suite à son approbation par la municipalité, comme l'a indiqué le conseil de celle-ci (cf. ci-dessus, partie Faits, lettre H), les propositions qu'elle contient devront être mises en oeuvre. Enfin, on relève que les critiques émises au sujet de cette étude par le bureau H.________ mandaté par les recourants consistent soit en des propositions de planter certaines espèces au lieu de celles envisagées par le bureau J.________, soit en des propositions - non pertinentes - de modifier la construction projetée pour conserver un arbre, ou de végétaliser les toitures. c) Les griefs des recourants doivent dès lors être rejetés, de même, par conséquent, que leur demande que le tribunal interpelle le Service cantonal spécialisé concerné.</w:t>
      </w:r>
    </w:p>
    <w:p>
      <w:r>
        <w:rPr>
          <w:b/>
        </w:rPr>
        <w:t>E. 6</w:t>
      </w:r>
    </w:p>
    <w:p>
      <w:r>
        <w:t>a) Les recourants font valoir que la parcelle 744 est en zone de dangers naturels et qu'un risque de dégâts d'eau menace le bâtiment B.________ sur la parcelle 745, de même qu'un risque de mise en danger de sa stabilité lors des terrassements. Cette crainte se fonde sur de précédents dégâts d'eau causés en 2017 lors de l'inondation suite au débordement de la rivière l'Eau froide, puis à deux reprises en 2008 et 2012 par la remontée d'eau de source par effet de mise en charge. Ces eaux proviennent de sources karstiques en pied versant et circulant dans les couches calcaires du lieu. Ces dégâts ont nécessité des travaux d'assainissement qui ont permis de régler ces problèmes à l'heure actuelle, mais les recourants craignent que de tels problèmes reviennent au vu de la nature compressive des sols dans le sous-sol des parcelles des bâtiments voisins. Ils demandent qu'une étude soit effectuée dès à présent (et non au stade de l'exécution des travaux), et que soit imposé un suivi des travaux par un hydrogéologue en plus d'un géotechnicien. b) L'art. 89 LATC interdit toute construction sur un terrain ne présentant pas une solidité suffisante ou exposé à des dangers spéciaux tels que l'avalanche, l'éboulement, l'inondation et les glissements de terrain avant l'exécution de travaux propres, à dires d'experts, à le consolider ou à écarter ces dangers; l'autorisation de construire n'engage pas la responsabilité de la commune ou de l'Etat. Il découle de cette disposition que le législateur cantonal laisse au propriétaire constructeur la responsabilité de prendre toutes les mesures propres à consolider le terrain ou à écarter les dangers de glissement, indépendamment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(cf. arrêts AC.2016.0425, AC.2016.0427, AC.2016.0428 du 26 septembre 2017 consid. 12a; AC.2015.0243 du 30 mai 2016; AC.2013.0065 du 18 juin 2015; AC.2013.0389 du 3 novembre 2014; AC.2009.0043 du 30 décembre 2010; AC.2009.0082 du 26 février 2010, AC.2008.0290 du 9 octobre 2009). Par ailleurs, conformément aux art. 120 al. 1 let. b et 121 let. c LATC, les constructions et les ouvrages nécessitant des mesures particulières de protection contre les dangers d'incendie et contre les dommages causés par les forces naturelles font l'objet d'une autorisation spéciale cantonale. L'autorité cantonale statue, sans préjudice des dispositions relatives aux plans et aux règlements communaux d'affectation, sur les conditions de situation, de construction, d'installations et, éventuellement sur les mesures de surveillance. Elle impose, s'il y a lieu, les mesures propres à assurer la salubrité et la sécurité ainsi qu'à préserver l'environnement (art. 123 al. 1 et 2 LATC). De jurisprudence constante, la municipalité n'est tenue d'exiger un rapport géologique et géotechnique que si des indices sérieux font penser que le terrain ne se prête pas à la construction ou qu'il impose des précautions spéciales (cf. arrêt AC.2016.0425, AC.2016.0427, AC.2016.0428 précité; AC.2012.0064 du 15 novembre 2012; RDAF 1967 p. 95). En principe,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ainsi contraire au principe de proportionnalité d'exiger au stade de la procédure de demande de permis de construire l'établissement d'un rapport géologique et géotechnique complet (arrêt AC.2016.0425, AC.2016.0427, AC.2016.0428 précité; AC.2015.0243 précité; AC.2013.0065 précité; AC.2013.0430 du 5 février 2015; AC.2013.0420 du 31 juillet 2014; AC.2009.0043 précité). Le cas échéant, il appartient à la municipalité, dans le cadre de son devoir de surveillance pendant la phase d'exécution des travaux prévue aux art. 124 à 129 LATC, de s'assurer que toutes les conditions fixées par l'autorisation spéciale de l'ECA ont été respectées, notamment au moment de l'avis de début des travaux (art. 125 LATC) et lorsqu'elle statue sur la demande de permis d'habiter (art. 129 LATC). L’art. 3 du règlement d’application du 28 septembre 1990 de la loi sur la prévention des incendies et des dangers résultant des éléments naturels (RLPIEN; BLV 963.11.1) prévoit d’ailleurs que la municipalité, avant de délivrer le permis d’habiter, devra s’assurer que la construction et ses aménagements ne présentent pas ou ne sont pas exposés à des risques importants ou particuliers d’incendie ou de dommages résultant de l’action des éléments naturels (cf. arrêt AC.2011.0320 du 31 juillet 2012). Pour le reste, la prévention contre des dommages liés à des travaux, notamment de terrassement, relève de l'application des règles de l'art en matière de construction et n'a aucune incidence sur la délivrance du permis de construire (cf. arrêts AC.2016.0027 du 10 mars 2017 consid. 5b/aa; AC.2010.0353 du 23 décembre 2011 consid. 10 et l'arrêt cité). Un éventuel litige portant sur cette question ressort du droit privé (AC.2010.0228 du 12 janvier 2011 consid. 5). c) En l'espèce, il ressort du dossier qu'une étude hydrogéologique a bien été effectuée par le bureau K.________. Dans la synthèse CAMAC n° 163986 du 23 novembre 2016, la Direction des ressources et du patrimoine naturels, Ressources en eau et économie hydraulique Eaux souterraines - Hydrogéologie (DTE/DGE/DIRNA/HG) a subordonné l'octroi de l'autorisation requise aux conditions suivantes: "Le projet de construction d'un ensemble résidentiel de 70 logements avec garage souterrain de 85 places et 5 places extérieures sur les parcelles n° 9 et n° 744 de la commune de Roche se situe en secteur A u de protection des eaux. Dans un tel secteur, il est interdit de mettre en place des installations au-dessous du niveau piézométrique de la nappe (OEaux, Annexe 4, Point 211, al 2). L'autorité peut déroger à ce principe à condition que la capacité d'écoulement des eaux du sous-sol soit réduite de 10% au plus par rapport à l'état non influencé (OEaux, Annexe 4, Point 211, al 3) et que le niveau piézométrique ne soit pas sensiblement modifié. Le projet initial avec deux niveaux de sous-sols avait été préavisé négativement par notre service (cf. préavis CAMAC n° 158858). Une demande de modification de projet avait été demandée en fonction des résultats d'investigations hydrogéologiques et s'assurer de l'admissibilité légale du projet. Le projet actuel présente une construction à un niveau de sous-sol. La démonstration de l'admissibilité du point de vue légal, soit l'influence inférieure de 10% sur l'écoulement de la nappe, a été apportée dans l'avis hydrogéologique du bureau K.________ du 22 avril 2016. Nous avons toutefois exigé la démonstration que des mesures techniques puissent assurer l'absence d'influence piézométrique sur le bâti existant. Le rapport hydrogéologique complémentaire du bureau K.________ du 27 octobre 2016 démontre que différentes mesures peuvent être mises en oeuvre à cet effet. Compte tenu de ce qui précède, le projet de construction est autorisé au sens de l'art. 19 LEaux, aux conditions suivantes de protection des eaux souterraines : - Un bureau d'hydrogéologue sera mandaté par le maître d'oeuvre pour effectuer un suivi des travaux de terrassement nécessaire à l'implantation de la construction projetée. Il évaluera l'impact de la construction sur l'écoulement des eaux souterraines en fonction des conditions hydrogéologiques rencontrées. - En fonction de ces dernières, diverses mesures visant notamment à assurer la circulation des eaux souterraines par rapport à l'état naturel devront impérativement être mises en place de manière à ne pas modifier les conditions existantes pour les bâtiments voisins. - En cas de fondations profondes (pieux), de stabilisation de paroi de fouilles par clouage, d'ancrages et autres procédés géotechniques, des mesures de protection des eaux devront impérativement être mises en oeuvre afin de ne pas polluer l'aquifère, et ne pas créer d'effet de barrage hydraulique. Ces mesures seront établies par le bureau d'hydrogéologues mandaté, qui donnera également les prescriptions nécessaires pour le rabattement provisoire de la nappe durant le chantier. - La partie souterraine du bâtiment devra être parfaitement étanche jusqu'au niveau de la nappe en période de hautes eaux et les drainages périphériques posés à une cote supérieure à ce niveau afin d'éviter un rabattement permanent de la nappe. - Les eaux souterraines récoltées par les drainages seront restituées au sous-sol par infiltration. Il en va de même des eaux pluviales (eaux de toitures, places de parc extérieures et accès) à condition d'être infiltrées de manière diffuse, à travers la couche végétalisée biologiquement active du sol (pas d'ouvrage en profondeur sans prétraitement de l'eau). En cas de déversement dans les eaux superficielles via le réseau communal d'évacuation des eaux claires, l'accord de la commune, qui peut exiger des mesures de rétention, est requis. - Les eaux du parking souterrain devront être évacuées selon les directives de la Direction de l'environnement industriel, urbain et rural, Surveillance, inspection et assainissement, Assainissement industriel (DTE/DGE/DIREV/AI)." Dans la synthèse CAMAC n° 181685 du 28 janvier 2019, ce même service a relevé ce qui suit: "Les objets de la présente mise à l'enquête complémentaire (abaissement des murs d'embouchature, suppression de l'étage des surcombles, changement de la pente des pans de toiture, modification du nombre de lucarnes et vélux) ne sont pas de nature à modifier les risques du projet vis-à-vis de la protection des eaux souterraines. Pour rappel, le projet concerne la construction d'un ensemble résidentiel de 70 logements avec garage souterrain de 85 places (CAMAC 163986) en secteur A u de protection des eaux à proximité des zones S du captage des Lizettes. Les conditions d'octroi de notre autorisation, listées dans la détermination CAMAC 163986, restent valables et doivent impérativement être respectées, notamment la mise en place d'un suivi hydrogéologique du chantier par un bureau d'hydrogéologues." Il apparaît par conséquent que toutes les mesures permettant d'assurer la sécurité des eaux souterraines et celle du bâtiment B.________ ont été prises. Le recours doit dès lors être rejeté sur ce point.</w:t>
      </w:r>
    </w:p>
    <w:p>
      <w:r>
        <w:rPr>
          <w:b/>
        </w:rPr>
        <w:t>E. 7</w:t>
      </w:r>
    </w:p>
    <w:p>
      <w:r>
        <w:t>Les recourants reprennent en quelques lignes leur grief relatif à l'ordre non contigu (art. 12 et 13 du règlement communal) qui ne serait pas respecté. Sur ce point, le tribunal renvoie à la motivation détaillée du considérant 5 de l'arrêt AC.2017.0192 du 29 août 2018.</w:t>
      </w:r>
    </w:p>
    <w:p>
      <w:r>
        <w:rPr>
          <w:b/>
        </w:rPr>
        <w:t>E. 8</w:t>
      </w:r>
    </w:p>
    <w:p>
      <w:r>
        <w:t>Il résulte des considérants qui précèdent que le recours doit être rejeté sur la base du dossier sans qu'il soit nécessaire de compléter l'instruction. Il ne sera donc pas donné suite aux diverses réquisitions d'instruction complémentaire des recourants.</w:t>
      </w:r>
    </w:p>
    <w:p>
      <w:r>
        <w:rPr>
          <w:b/>
        </w:rPr>
        <w:t>E. 9</w:t>
      </w:r>
    </w:p>
    <w:p>
      <w:r>
        <w:t>Il s’ensuit que le recours doit être rejeté, et la décision attaquée, confirmée. Les recourants, qui succombent, supportent les frais de justice (art. 49 de la loi vaudoise du 28 octobre 2008 sur la procédure administrative [LPA-VD; RSV 173.36]). La constructrice, représentée par un avocat, a droit à des dépens, à la charge des recourants, solidairement entre eux (art. 55 LPA-VD). Il en va de même de la municipalité, qui a elle aussi mandaté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