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AC.2019.0108 vom 1. Mai 2019</w:t>
      </w:r>
    </w:p>
    <w:p>
      <w:r>
        <w:t>VD Tribunal cantonal, 2019-05-01, FR</w:t>
      </w:r>
    </w:p>
    <w:p>
      <w:r>
        <w:rPr>
          <w:b/>
        </w:rPr>
        <w:t xml:space="preserve">Quelle: </w:t>
      </w:r>
      <w:r>
        <w:t>https://mcp.opencaselaw.ch/entscheid/vd_omni_AC.2019.0108</w:t>
      </w:r>
    </w:p>
    <w:p>
      <w:r>
        <w:t>FR: VD_OMNI AC.2019.0108 du 1 mai 2019</w:t>
      </w:r>
    </w:p>
    <w:p>
      <w:r>
        <w:t>IT: VD_OMNI AC.2019.0108 del 1 maggio 2019</w:t>
      </w:r>
    </w:p>
    <w:p>
      <w:pPr>
        <w:pStyle w:val="Heading2"/>
      </w:pPr>
      <w:r>
        <w:t>Regeste</w:t>
      </w:r>
    </w:p>
    <w:p>
      <w:r>
        <w:t>A.________/Municipalité de Moudon, B.________ | Recours d'un architecte contre un permis de construire délivré alors qu'il a été requis par le recourant lui-même en sa qualité de mandataire de la constructrice et pour le compte de celle-ci. Le recourant ne dispose pas d'un intérêt digne de protection pour recourir à titre personnel. En général, la qualité pour agir du tiers qui dépose un recours dans le but de résoudre des difficultés contractuelles doit être déniée. Recours manifestement irrecevable</w:t>
      </w:r>
    </w:p>
    <w:p>
      <w:pPr>
        <w:pStyle w:val="Heading2"/>
      </w:pPr>
      <w:r>
        <w:t>Erwägungen</w:t>
      </w:r>
    </w:p>
    <w:p>
      <w:r>
        <w:rPr>
          <w:b/>
        </w:rPr>
        <w:t>E. 1</w:t>
      </w:r>
    </w:p>
    <w:p>
      <w:r>
        <w:t>Le Tribunal cantonal examine d'office et librement la recevabilité des recours qui lui sont soumis. 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Lorsque la contestation porte sur un permis de construire au sens des art. 103ss de la loi vaudoise du 4 décembre 1985 sur l'aménagement du territoire et les constructions (LATC; BLV 700.11), l'exigence de la participation à la procédure devant l'autorité précédente signifie que le recourant doit avoir formé opposition lors de l'enquête publique (voir la jurisprudence citée par Benoît Bovay et al., Droit fédéral et vaudois de la construction, 4e éd. Bâle 2010, n. 2.1 ad art. 109 LATC; cf. aussi arrêt AC.2013.0400 du 15 avril 2016 consid. 2a). Par ailleurs, constitue un intérêt digne de protection, au sens de l'art. 75 LPA-VD,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2C_816/2012 du 6 mars 2013 consid. 1.2).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2C_869/2012 du 12 février 2013 consid. 5.2). En général, la jurisprudence dénie la qualité pour agir au tiers qui dépose un pourvoi dans le but de résoudre des difficultés contractuelles. Considérant que ce serait élargir à l'excès la qualité pour recourir que de l'accorder à tous ceux (architecte, géomètre, ingénieur, etc.) qui ont participé à l'élaboration du projet ou pouvant espérer être mandatés ultérieurement pour sa réalisation, le Tribunal administratif (auquel a succédé la CDAP) a ainsi notamment dénié la qualité pour recourir d'un architecte agissant en son propre nom en vue d'obtenir un mandat contre un refus de permis de construire (cf. AC.2017.0169 du 29 août 2017 consid. 1c; AC.2000.0124 du 9 novembre 2000 consid. 3; AC.2000.0163 du 6 novembre 2000 consid. 2c). Dans le même sens, il a également estimé que ne disposait pas d’un intérêt digne de protection l’entreprise souhaitant réaliser un mandat de pose d’une bâche publicitaire qui recourait contre le refus d’autoriser la pose de cette bâche (cf. GE.2006.0110 du 7 décembre 2006 consid. 1d/bb). c) En l'espèce, le recours a ceci de particulier qu'il intervient contre un permis de construire délivré alors qu'il a été requis par le recourant lui-même en sa qualité de mandataire de la constructrice et pour le compte de celle-ci. Quoi qu'il en soit, il convient d'emblée de constater, premièrement, que le recourant n'a pas pris part personnellement à la procédure devant l'autorité précédente dans la mesure où l'enquête n'a pas suscité d'opposition. Le recourant ne soutient pas non plus qu'il serait voisin du projet litigieux ou que sa réalisation l'exposerait à des nuisances supplémentaires. Il ne motive au demeurant pas les raisons pour lesquelles il disposerait personnellement de la qualité pour recourir dans ce cas d'espèce pour le moins inhabituel. Dans son recours, l'intéressé n'allègue en effet aucun élément concret tendant à démontrer qu'il retirerait un avantage pratique à l'annulation ou à la modification de la décision attaquée. Il ne saurait agir dans l'intérêt général, ce que le législateur et la jurisprudence tendent à proscrire. Par ailleurs, la qualité pour agir ne peut lui être reconnue s'agissant d'un architecte recourant en son propre nom, qui agirait dans le but de résoudre des difficultés contractuelles. Ainsi, en l'espèce, force est de constater que le recourant n'est pas atteint par la décision entreprise et ne dispose d'aucun intérêt personnel et actuel digne de protection à sa modification ou à son annulation (art. 75 al. 1 let. a LPA-VD). Finalement, on soulignera que le recourant ne peut prétendre agir pour SEAM SA, que cela soit en qualité d'administrateur ou d'architecte mandataire, alors qu'il ne disposait que d'une signature collective à deux, qui a été récemment radiée, et qu'il n'est pas au bénéfice d'une procuration.</w:t>
      </w:r>
    </w:p>
    <w:p>
      <w:r>
        <w:rPr>
          <w:b/>
        </w:rPr>
        <w:t>E. 2</w:t>
      </w:r>
    </w:p>
    <w:p>
      <w:r>
        <w:t>Vu ce qui précède, il n'y a pas lieu d'entrer en matière sur le fond, faute de qualité pour agir. Le recours est manifestement irrecevable, ce qui peut être constaté par un juge unique (cf. art. 94 al. 1 let. d LPA-VD), selon la procédure de jugement immédiat (cf. art. 82 LPA-VD). Le conseil de la Municipalité n'ayant pas procédé, il n'y a pas lieu d'allouer des dépens (art. 55 LPA-VD). Quant au mandataire de la constructrice, son intervention spontanée du 10 avril 2019 ne justifie pas d'accorder des dépens. Au vu des circonstances, l'on renoncera à prélever un émolument judicaire.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