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AC.2019.0096 vom 25. Februar 2020</w:t>
      </w:r>
    </w:p>
    <w:p>
      <w:r>
        <w:t>VD Tribunal cantonal, 2020-02-25, FR</w:t>
      </w:r>
    </w:p>
    <w:p>
      <w:r>
        <w:rPr>
          <w:b/>
        </w:rPr>
        <w:t xml:space="preserve">Quelle: </w:t>
      </w:r>
      <w:r>
        <w:t>https://mcp.opencaselaw.ch/entscheid/vd_omni_AC.2019.0096</w:t>
      </w:r>
    </w:p>
    <w:p>
      <w:r>
        <w:t>FR: VD_OMNI AC.2019.0096 du 25 février 2020</w:t>
      </w:r>
    </w:p>
    <w:p>
      <w:r>
        <w:t>IT: VD_OMNI AC.2019.0096 del 25 febbraio 2020</w:t>
      </w:r>
    </w:p>
    <w:p>
      <w:pPr>
        <w:pStyle w:val="Heading2"/>
      </w:pPr>
      <w:r>
        <w:t>Regeste</w:t>
      </w:r>
    </w:p>
    <w:p>
      <w:r>
        <w:t>A.________, B.________ c/Municipalité de Ferreyres, C.________ | Demande de permis de construire concernant la transformation d'un bâtiment rural en trois logements avec six places de parc. Recours d'opposants contre la décision de la municipalité refusant l'implantation telle que prévue de deux des six places de parc et exigeant leur déplacement à un autre endroit et levant l'opposition des recourants - Du fait que le recours ne porte que sur la question de l'emplacement des deux places de parc précitées tel que prévu dans la demande de permis de construire, emplacement que, dans sa décision, la municipalité a toutefois exigé de la part du constructeur de modifier, la qualité pour recourir doit être déniée aux recourants faute d'intérêt actuel et pratique (consid. 1). Recours irrecevable.</w:t>
      </w:r>
    </w:p>
    <w:p>
      <w:pPr>
        <w:pStyle w:val="Heading2"/>
      </w:pPr>
      <w:r>
        <w:t>Erwägungen</w:t>
      </w:r>
    </w:p>
    <w:p>
      <w:r>
        <w:rPr>
          <w:b/>
        </w:rPr>
        <w:t>E. 1</w:t>
      </w:r>
    </w:p>
    <w:p>
      <w:r>
        <w:t>Se pose en l'occurrence la question de la qualité pour recourir des recourants. a) La qualité pour recourir est définie à l'art. 75 de la loi vaudoise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cf. AC.2018.0370 du 23 août 2019 consid. 3a). 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Il doit en outre être actuel et subsister non seulement au moment du dépôt du recours, mais encore au moment où l'arrêt est rendu (ATF 142 I 135 consid. 1.3.1 p. 143; cf. aussi TF 1C_417/2018 du 13 décembre 2018 consid. 2). Si l'intérêt actuel disparaît en cours de procédure, le recours devient sans objet, alors qu'il est irrecevable si l'intérêt actuel faisait déjà défaut au moment du dépôt du recours ( ATF 142 I 135 consid. 1.3.1 p. 143; 139 I 206 consid. 1.1 p. 208; 137 I 23 consid. 1.3.1 p. 24, et les arrêts cités).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139 I 206 consid. 1.1 p. 208; 137 I 23 consid. 1.3.1 p. 25, et les arrêts cités; cf. également AC.2017.0416 du 26 mars 2019 consid. 1). b) En l'espèce, dans leur recours du 27 mars 2019, les recourants font valoir que leur droit d'être entendus aurait été violé sur plusieurs points, notamment qu'il y aurait violation des conventions relatives au PGA incluant les dispositions particulières concernant la parcelle n° 253. Ils ajoutent qu'ils n'auraient pas l'assurance que le refus de prévoir des places de parc sur le bien-fonds n° 253 serait respecté, dès lors que cette parcelle serait déjà affectée à des places de stationnement, sachant qu'il n'y aurait pas suffisamment de place sur le bien-fonds n° 252. Il ressort en définitive des différentes écritures des recourants (cf. leur opposition du 15 novembre 2018, leur recours ainsi que leurs déterminations du 11 novembre 2019) que ces derniers contestent uniquement l'utilisation (éventuelle) de la parcelle n° 253 par le constructeur pour y mettre deux places de parc, et ce en se référant notamment aux problèmes liés à la nouvelle affectation d'une partie de chacun des biens-fonds n° 15 et 253 à la zone d'installations (para-)publiques. Or, la municipalité, qui exige du constructeur qu'il prévoie six places de parc, précise dans sa décision du 1 er mars 2019 que les deux places de parc initialement projetées dans la partie de la parcelle n° 253 sise en zone d'installations (para-)publiques doivent être déplacées sur le bien-fonds n° 252. Elle soumet par ailleurs l'octroi le 18 octobre 2019 du permis de construire à la condition que les places de parc soient réalisées conformément au nouveau plan de situation du 29 mars 2019 et donc " hors de la parcelle n° 253 ". Le bien-fonds n° 253, à la suite des deux décisions précitées de la municipalité, n'est ainsi plus concerné par le projet de construction litigieux. L'on ne voit en particulier pas que les exigences posées par l'autorité intimée ne soient pas respectées par le constructeur, sauf à faire à celui-ci un procès d'intention, sachant en outre que l'autorité intimée est tenue de s'assurer du respect de telles exigences. Ces éléments, compte tenu du fait que les recourants ne contestent que l'utilisation (éventuelle) de la parcelle n° 253 dans le cadre du projet de construction litigieux, ne peuvent qu'amener le tribunal à considérer que les recourants ne disposaient pas d'un intérêt actuel et pratique au sort du recours, déjà au moment du dépôt de celui-ci. Les intéressés n'ont enfin pas rendu vraisemblable que la contestation à la base de la décision attaquée pourrait se reproduire en tout temps dans des circonstances similaires et que sa nature ne permettrait pas de la trancher avant qu'elle ne perde son actualité, ni qu'en raison de sa portée de principe il existerait un intérêt public suffisamment important à trancher la question litigieuse. c) La qualité pour recourir doit en conséquence être déniée aux recourants. A noter que seules six places de parc seront autorisées, et non neuf places de parc, comme semble l'indiquer à tort la municipalité.</w:t>
      </w:r>
    </w:p>
    <w:p>
      <w:r>
        <w:rPr>
          <w:b/>
        </w:rPr>
        <w:t>E. 2</w:t>
      </w:r>
    </w:p>
    <w:p>
      <w:r>
        <w:t>Vu ce qui précède, le recours doit être déclaré irrecevable, faute de qualité pour recourir de ses auteurs. Compte tenu de l'issue de la cause, des frais seront mis à la charge des recourants (cf. art. 49 al. 1, 91 et 99 LPA-VD), qui verseront en outre des dépens à la commune, qui obtient gain de cause en ayant procédé par l'intermédiaire d'un mandataire professionnel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