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AC.2019.0085 vom 14. August 2020</w:t>
      </w:r>
    </w:p>
    <w:p>
      <w:r>
        <w:t>VD Tribunal cantonal, 2020-08-14, FR</w:t>
      </w:r>
    </w:p>
    <w:p>
      <w:r>
        <w:rPr>
          <w:b/>
        </w:rPr>
        <w:t xml:space="preserve">Quelle: </w:t>
      </w:r>
      <w:r>
        <w:t>https://mcp.opencaselaw.ch/entscheid/vd_omni_AC.2019.0085</w:t>
      </w:r>
    </w:p>
    <w:p>
      <w:r>
        <w:t>FR: VD_OMNI AC.2019.0085 du 14 août 2020</w:t>
      </w:r>
    </w:p>
    <w:p>
      <w:r>
        <w:t>IT: VD_OMNI AC.2019.0085 del 14 agosto 2020</w:t>
      </w:r>
    </w:p>
    <w:p>
      <w:pPr>
        <w:pStyle w:val="Heading2"/>
      </w:pPr>
      <w:r>
        <w:t>Regeste</w:t>
      </w:r>
    </w:p>
    <w:p>
      <w:r>
        <w:t>A.________ SA/Division logement | Contrôle pendant trois ans du loyer de deux appartements destinés à la rénovation. La recourante critique l'analyse technique de l'autorité intimée, qui prend pour base de calcul le dernier loyer pratiqué avant rénovation, mais celui-ci est proche du loyer objectif (écart de 10%) du premier des deux appartements; pour l'autre appartement, cet écart étant trop important (23%), l'autorité intimée a substitué ce loyer objectif au dernier loyer pratiqué. Dès lors, ce calcul ne procède pas d'un abus du pouvoir d'appréciation, la pratique de l’autorité intimée répondant à un intérêt public prépondérant, qui vise à conserver un parc locatif d'une certaine catégorie en général, pour l'ensemble de la population. Il en résulte une augmentation des loyers de 24, respectivement 44%, qui est loin d'être négligeable et qui permet aux appartements concernés d'être maintenus dans cette catégorie. Du reste, cette mesure ne prend effet que sur trois ans, ce qui est conforme au principe de proportionnalité. Recours au Tribunal fédéral rejeté par arrêt 1C_512/2020 du 28 octobre 2021.</w:t>
      </w:r>
    </w:p>
    <w:p>
      <w:pPr>
        <w:pStyle w:val="Heading2"/>
      </w:pPr>
      <w:r>
        <w:t>Erwägungen</w:t>
      </w:r>
    </w:p>
    <w:p>
      <w:r>
        <w:rPr>
          <w:b/>
        </w:rPr>
        <w:t>E. 1</w:t>
      </w:r>
    </w:p>
    <w:p>
      <w:r>
        <w:t>Les décisions attaquées ont été prises en application de la loi cantonale du 10 mai 2016 sur la préservation et la promotion du parc locatif (LPPPL; BLV 840.15), dont l’art. 23 al. 3 précise que le recours s'exerce conformément à la loi sur la procédure administrative. Aux termes de l’art. 92 al. 1 de la loi cantonale du 28 octobre 2008 sur la procédure administrative (LPA-VD; BLV 173.36), le Tribunal cantonal connaît des recours contre les décisions et décisions sur recours rendues par les autorités administratives, lorsque la loi ne prévoit aucune autre autorité pour en connaître. Les recours, interjetés dans la forme et le délai prescrits aux art. 77 et 79 al. 1 LPA-VD, sont ainsi recevables et il y a lieu d’entrer en matière sur le fond.</w:t>
      </w:r>
    </w:p>
    <w:p>
      <w:r>
        <w:rPr>
          <w:b/>
        </w:rPr>
        <w:t>E. 2</w:t>
      </w:r>
    </w:p>
    <w:p>
      <w:r>
        <w:t>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l’occurrence, le Tribunal a tenu une audience publique (cf. art. 6 par. 1 CEDH), au cours de laquelle il a recueilli les explications finales des parties. Au surplus, l’on peut se dispenser de procéder à une vision locale et d’ordonner une expertise. L’autorité intimée a produit le dossier de la procédure administrative. Or, ce dossier est complet et le litige a trait, comme on le verra ci-dessous, à des questions d’ordre principalement, sinon exclusivement juridique, que le Tribunal examine avec un plein pouvoir d’examen (cf. art. 98 LPA-VD). Le sort du présent litige dépend pour l’essentiel de la résolution de questions juridiques à caractère technique, dont tous les aspects ont pu être développés dans les écritures des parties à la procédure et au cours des débats publics. Dès lors, par appréciation anticipée des preuves, le Tribunal s’estime en mesure de statuer en connaissance de cause, en se dispensant de donner suite à la réquisition de la recourante.</w:t>
      </w:r>
    </w:p>
    <w:p>
      <w:r>
        <w:rPr>
          <w:b/>
        </w:rPr>
        <w:t>E. 2.2</w:t>
      </w:r>
    </w:p>
    <w:p>
      <w:r>
        <w:t>p. 337; 128 I 206 consid. 5.2.4 p. 211 s.; 113 Ia 126 consid. 7a p. 134; 111 Ia 23 consid. 3a p. 26; arrêt 1C_124/2017 du 23 novembre 2017 consid. 3.2 et les arrêts cités). De même, il a été jugé que l'intérêt public à la préservation d'un parc locatif répondant aux besoins de la population était légitime et justifiait une atteinte aux garanties constitutionnelles de la propriété (arrêt 1C_110/2017 déjà cité, consid. 4.2.2). La décision attaquée repose dès lors sur un intérêt public suffisant. c) Pour qu'une telle restriction soit conforme à la garantie de la propriété, l'autorité administrative doit toutefois effectuer une pesée des intérêts en présence et évaluer l'importance de la mesure au regard des intérêts privés en jeu (ATF 113 Ia 126 consid. 7b/aa p. 137; arrêts 1C_124/2017 du 23 novembre 2017 consid. 3.2; 1C_68/2015 du 5 août 2015 consid. 2.3). La restriction doit ainsi respecter le principe de la proportionnalité, qui exige notamment que le but visé ne puisse être atteint par une mesure moins contraignante ( ATF 140 I 168 consid. 4.2.1 p. 173; 135 I 233 consid. 3.1 p. 246; arrêt 1C_16/2015 du 3 septembre 2015 consid. 5.1). Le contrôle des loyers est seulement destiné à éviter que les propriétaires autorisés à transformer les logements ne les soumettent à des augmentations qui excèdent celles qui avaient été annoncées pour obtenir l'autorisation ou qui ont été fixées par l'autorité cantonale (ATF du 29 septembre 1982, publié à la RDAF 1983 p. 255 consid. 3; arrêt AC.2014.0414 du 29 juillet 2016 consid. 2b). Le Tribunal fédéral a déjà jugé sur ce point que pour atteindre l’objectif de maintien d'un parc locatif répondant aux besoins de la population, la mesure de contrôle des loyers se révèle nécessaire, en sus des règles existantes en droit du bail (arrêt 1C_110/2017, déjà cité, consid. 4.3.2). Comme on l’a dit plus haut, les loyers majorés retenus dans les décisions attaquées répondent aux besoins de la majorité de la population. A cet égard, il ressort de l’art. 14 al. 2 LPPPL que le département peut assortir l'autorisation de rénover d'une mesure de contrôle du revenu locatif d'une durée maximale de cinq ans à compter de la mise en location des logements. En la présente espèce, cette mesure ne prend effet que sur trois ans, comme on l’a dit plus haut. Il y a donc lieu de retenir que les décisions attaquées respectent le principe de proportionnalité, ceci d’autant plus que, durant cette période de contrôle limitée, les montants que la recourante a investis dans les travaux de rénovation de ces deux appartements lui procureront un rendement suffisant par les augmentations de loyer de 24, respectivement 32% que ces travaux impliquent.</w:t>
      </w:r>
    </w:p>
    <w:p>
      <w:r>
        <w:rPr>
          <w:b/>
        </w:rPr>
        <w:t>E. 3</w:t>
      </w:r>
    </w:p>
    <w:p>
      <w:r>
        <w:t>Les limites de l'alinéa 2 sont fondées sur les indices suivants: - Indice suisse des prix à la consommation (ISPC) mars 2017 = 100.7 (indice de base 100.0 = décembre 2015) - Indice zurichois (indice ZH) des coûts de la construction : avril 2016 = 99.2 (indice de base 100.0 = avril 2010)</w:t>
      </w:r>
    </w:p>
    <w:p>
      <w:r>
        <w:rPr>
          <w:b/>
        </w:rPr>
        <w:t>E. 3.6</w:t>
      </w:r>
    </w:p>
    <w:p>
      <w:r>
        <w:t>p. 175/176; v. en outre arrêts 1C_472/2018 du 25 mars 2019 consid. 6.2; 1C_370/2017 du 4 juillet 2018 consid. 2.2). On ne voit pas qu’une mesure moins incisive que la prise en compte du dernier loyer pratiqué dans l’état locatif, lorsque celui-ci est proche du loyer objectif, ait pu atteindre également le but d’intérêt public visé par la décision attaquée. c) La recourante se plaint toutefois de ce que les loyers admis après les travaux de rénovation des deux appartements seraient insuffisants. aa) La jurisprudence a précisé, selon diverses formulations, que le montant des loyers après travaux devait permettre économiquement au propriétaire de supporter le coût des travaux (arrêt 1P.705/2000 du 24 septembre 2001 consid. 2d, in : RDAF 2002 I p. 49), respectivement que la fixation des loyers après travaux sur la base d'un état locatif objectif corrigé ne vidait en principe pas la garantie de la propriété privée de sa substance, pour autant qu'elle assure au propriétaire un rendement suffisant des fonds propres investis dans l'acquisition et la rénovation des immeubles (ibid., consid. 3b). Sous l’empire de la LDTR, l'expérience a montré que lorsque des appartements individualisés sont rénovés, les loyers sont aussi adaptés en conséquence de manière individuelle. L'objectif de préservation du parc locatif poursuivi par la LDTR implique dès lors que chaque rénovation d'appartement individualisé fasse l'objet d'un examen dès le moment où les travaux sont d'une certaine importance et risquent d'entraîner des hausses de loyers susceptibles de faire sortir les logements concernés des objets répondant aux besoins prépondérants de la population (arrêt AC.2015.0244 du 19 janvier 2017 consid. 2c/bb, confirmé par arrêt 1C_110/2017, déjà cité). Ces considérations sont toujours valables depuis l’entrée en vigueur de la LPPPL. Aussi en présence, comme en l’occurrence, de travaux mixtes, à savoir des travaux d'entretien courant et de rénovation, l'autorité doit, pour fixer le loyer net admissible après travaux, recourir à une méthode dite "de la valeur objective". Cette méthode vise notamment à déterminer la part des travaux correspondant à une rénovation, qui peut seule être mise à la charge des locataires, à l'exclusion de la part des travaux correspondant à l'entretien (arrêts FO.2014.0012 du 25 juin 2016 consid. 5a; FO.2006.0013 du 27 octobre 2008 consid. 3a). Pour fixer le loyer admissible après travaux, l’autorité détermine d'abord le pourcentage admissible du coût des travaux pouvant être répercuté sur les locataires. Pour calculer ce pourcentage, elle considère que le 30% du loyer objectif correspond à une part d'entretien, alors que le 70% permet au propriétaire de rentabiliser ses frais financiers et peut être répercutée sur les loyers. Ainsi, la part du loyer effectif dépassant le 70% du loyer objectif est celle qui peut effectivement être affectée à l'entretien de l'immeuble et ne peut être répercutée sur les loyers. Il déduit cette part du 100% des travaux pour arrêter le pourcentage du montant total des travaux qui peut être répercuté sur les loyers. De manière générale, en pratique et sous réserve de cas exceptionnels où les loyers sont manifestement et de longue date particulièrement excessifs, l'autorité cantonale ne descend pas en dessous de 50% afin de garantir un minimum de rentabilité au propriétaire. Puis, elle fixe le loyer admissible après travaux en ajoutant au loyer effectif le rendement admissible des travaux, renté au taux de référence des loyers. Les travaux réellement à plus-value (création d'un élément qui n'existait pas) ou qui s'inscrivent dans une perspective de développement durable ou d'économies d'énergie (cf. art. 18 al. 1 RPPPL) sont rentabilisés à 100%, toujours au taux de référence des loyers (cf. arrêt AC.2015.0244, déjà cité, consid. 3c/bb). bb) L’autorité intimée explique qu’en l'espèce, pour l’appartement de deux pièces (ex-B.________) de l'immeuble ********, elle a pris en compte un coût des travaux de 55'805 fr., admis à hauteur de 80% comme des travaux d'entretien (44'644 fr.) et de 20% comme des travaux à plus-value (11'161 fr.). Cette approche n’est, en soi, guère critiquable. Elle a considéré que le loyer effectif (7'296 fr. par an) représentait les 90% du loyer objectif (soit 8'066 fr. par an), de sorte que le propriétaire dispose d'une «réserve théorique d'entretien» de 20%, soit la part qui excède le 70% du loyer objectif. Cette réserve a été déduite du montant des travaux d'entretien, lesquels ont été pris en considération à hauteur de 80%, cependant que les travaux à plus-value ont été rentabilisés à 100%. Ainsi, les travaux entrepris dans cet appartement peuvent être répercutés sur le locataire à hauteur de 1'640 fr. par an ([55'805 fr. x 3,5%] x 84%) soit 136 fr. par mois. A ce montant s’ajoutent les travaux de réfection de l’ascenseur de l’immeuble (329'535 fr.), part estimée à 3'968 fr. et rentabilisée à 76% au taux de 3,5%, ce qui donne droit à une hausse complémentaire de 105 fr. par an, soit 9 fr. par mois. Ainsi, au total, le loyer admissible après travaux, selon ce calcul, serait de 753 fr. par mois, soit 151 fr. le mètre carré. Par rapport à un loyer avant travaux de 608 fr. par mois, cela représente une hausse d’environ 24%. S’agissant de l’appartement de quatre pièces (ex-C.________) de l'immeuble ********, l’autorité intimée a effectué un calcul similaire. Elle a pris en compte un coût des travaux de 85'509 fr., admis à hauteur de 80% comme des travaux d'entretien (68'408 fr.) et de 20% comme des travaux à plus-value (17'102 fr.). On a vu au paragraphe précédent (supra, b) que le loyer objectif, soit 1'188 fr. par mois, avait été substitué au dernier loyer payé par le précédent locataire, lequel a été estimé comme étant sensiblement trop bas. Compte tenu de contexte particulier, l’autorité intimée a pris en considération un taux de rendement de 76% des travaux, soit le même que celui retenu pour les travaux généraux, au taux de 3,5%. Cela représente une augmentation de loyer de 2'280 fr. par an, soit 190 fr. par mois. A ce montant s’ajoutent la part des travaux de réfection de l’ascenseur de l’immeuble, estimée à 7'142 fr. et rentabilisée à 76% au taux de 3,5%, ce qui donne droit à une hausse complémentaire de 192 fr. par an, soit 16 fr. par mois. Ainsi, au total, le loyer admissible après travaux, selon ce calcul, serait de 1’393 fr. par mois, soit 155 fr. le mètre carré. Par rapport à un loyer avant travaux de 962 fr. par mois, certes très bas, cela représente une hausse d’environ 44%. cc) La recourante se plaint à cet égard de ce que l’autorité intimée aurait sous-évalué le prix du terrain dans son calcul. Il appert pourtant que cette dernière s’est fondée sur sa pratique consistant, pour déterminer en l’occurrence la valeur objective, à se fonder sur les paramètres suivants: la valeur à neuf ECA (indice 125 valeur mars 2017, indice 100 = 1990), le terrain (exprimé en pour-cent, en principe entre 15% à 25%) et les aménagements extérieurs et divers (exprimés en pour-cent, entre 8% à 12%). Il ressort en particulier des fiches techniques du 12 février 2019, annexées aux décisions attaquées, que le prix du terrain a été pris en considération dans le calcul de la valeur objective à hauteur de 25%. Dès l’instant où cette pratique est constante et qu’elle n’apparaît pas comme étant contraire à la loi, c’est à tort que la recourante invoque une violation de l’égalité de traitement (cf. plus généralement sur cette question, arrêt GE.2015.0185 du 10 mars 2016 consid. 8). Comme on le verra au paragraphe d) ci-dessous, la comparaison que la recourante fait sur ce point avec le calcul du prix du terrain pour la fixation des logements d’utilité publique n’est, du reste, guère adéquate. Les décisions attaquées prennent en considération le taux de référence de l’intérêt hypothécaire en premier rang, tel qu’il est pratiqué depuis le 1 er décembre 2017 par l’Office fédéral du logement (OFL), soit 1,5%. Ce taux est majoré de 2% pour tenir compte des charges et des frais de gestion. La recourante, qui critique la méthode de la valeur objective, reproche en outre sur ce point à l’autorité intimée de faire abstraction de l’évolution antérieure des taux hypothécaires. Elle rappelle que les loyers des appartements ex-B.________ et ex-C.________, se situaient avant les travaux, à 121 fr. 50, respectivement 106 fr. 90 le mètre carré; or, ces montants ne lui auraient pas permis de constituer des réserves, compte tenu des taux sensiblement plus élevés pratiqués par le passé. L’autorité intimée se réfère à sa pratique, consistant à rentabiliser les travaux justifiés au taux technique de référence admis, soit 3,5%, valeur février 2019 dans le cas d'espèce, sur la base d'un taux de référence de l'OFL de 1,5%. On relève que, dans un arrêt AC.2001.0263 du 9 juillet 2002 concernant la reconstruction de bâtiments locatifs, le Tribunal administratif a confirmé un calcul de l’autorité intimée, qui se fondait sur le taux hypothécaire de référence en 1 er rang, tel qu’il était pratiqué par la Banque cantonale vaudoise pour la période considérée (s'agissant d'une décision rendue le 16 novembre 2001, le taux de référence BCV au 1 er juillet 2001 était fixé à 4,25%; cf. consid. 4e/bb/ccc). Cette jurisprudence a depuis lors été confirmée (arrêts FO.2007.0004 du 22 février 2008 consid. 4; FO.2002.0024 du 8 juillet 2003 consid. 7). Dans la mesure où il se réfère à celle-ci, la Cour n’a aucune raison de remettre en cause le calcul de l’autorité intimée. dd) Contrairement à ce qu’indique la recourante dans ses écritures, les augmentations de loyer admises dans les décisions attaquées sont loin d’être négligeables. Comme la LDTR, la LPPPL a notamment pour objectif d’éviter le renchérissement des loyers résultant de transformations architecturales trop importantes; il s'agit de maintenir une substance d'appartements susceptibles de répondre aux besoins de la population (arrêt AC.2015.0244, déjà cité, consid. 2d/bb). A cet égard, force est d’admettre que des loyers de 151, respectivement 155 fr. le mètre carré, tels que retenus par les décisions attaquées, permettent aux appartements concernés d'être maintenus dans la catégorie de ceux répondant aux besoins de la majorité de la population. C’est par conséquent en vain que la recourante se plaint d’un abus par l’autorité intimée du pouvoir d’appréciation qui lui est conféré par l’art. 14 al. 1 LPPPL. d) La recourante évoque sans doute une violation de l’art. 28 al. 2 RLPPPL; selon ses explications, les loyers que l’autorité intimée lui impose de respecter durant trois ans seraient inférieurs aux limites maximales fixées dans le règlement pour un logement à loyer abordable (LLA), soit 243 fr./m 2 pour un appartement de deux pièces, respectivement 237 fr./m 2 pour un quatre pièces, ******** étant située en zone VI. On rappelle à cet égard que la LPPPL comporte deux volets; elle a pour objectif de fournir des instruments permettant non seulement de conserver (Titre II de la loi «Préservation du parc locatif»), mais aussi de développer le parc de logements (Titre III «Promotion du parc locatif»). C’est du reste à la suite d’une motion d’ordre du Grand Conseil du 12 janvier 2016 (cf. lettre du Conseil d’Etat au Grand Conseil du 18 février 2016 à propos des EMPL 168 et 169) que ce second volet (art. 27-40 LPPPL) a été intégré dans le projet de loi qui, initialement n’avait trait qu’à la préservation du parc locatif existant. L’art. 28 RPPPL fait suite à l’adoption du Titre III de la LPPPL. Or, cette disposition s’applique uniquement, comme l’autorité intimée le relève dans sa réponse, aux logements d’utilité publique dans le cadre de nouvelles constructions. Ainsi, les limites de loyers retenues à l’art. 18 al. 2 RLPPPL incluent des valeurs de terrain contemporaines et actuelles; or, celles-ci sont réputées supérieures à celles qui prévalaient lors de la construction et du financement initial de l’immeuble de la recourante en 1961. La comparaison à laquelle se livre la recourante n’est guère pertinente et il n’y a aucune violation de l’art. 18 al. 2 RLPPPL dans le cas d’espèce. 7. La recourante se plaint en outre d’une violation de la garantie constitutionnelle de la propriété. Ancrée à l’art. 26 al. 1 Cst., cette garantie peut, comme tout droit fondamental, être restreinte aux conditions fixées à l'art. 36 Cst. L'application d'une législation cantonale telle que la LPPPL, qui soumet à autorisation étatique certaines ventes immobilières et qui permet à l'Etat de fixer des conditions en relation avec la protection des locataires ou la préservation du parc locatif, entraîne, pour le propriétaire foncier auquel s'appliquent ces conditions, ou auquel l'autorisation n'est pas accordée, des restrictions au droit de propriété garanti par l'art. 26 al. 1 Cst. et par l'art. 25 al. 1 Cst.-VD. Cette garantie protège en premier lieu les droits patrimoniaux du propriétaire, à savoir sa faculté de conserver sa propriété, d'en jouir et de l'aliéner. Elle n'est toutefois pas absolue, d es restrictions étant admises à condition qu'elles reposent sur une base légale, soient justifiées par un intérêt public suffisant et respectent le principe de la proportionnalité (art. 36 al. 1 à 3 Cst. et 38 al. 1 à 3 Cst.-VD; ATF 130 I 360 consid. 14.2 p. 362; 129 I 337 consid. 4.1 p. 344; 126 I 219 consid. 2a p. 221 et les arrêts cités). a) Lorsque l'atteinte est grave, outre que la base légale doit être une loi au sens formel, celle-ci doit être claire et précise (ATF 140 I 168 consid. 4 p. 170; 119 Ia 362 consid. 3a p. 366; 115 Ia 333 consid. 2a p. 336).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140 I 168 consid. 4 p. 170; 135 III 633 consid. 4.3. p. 637; 131 I 333 consid. 4.2 p. 340). Il a été jugé qu’une restriction (soit un contrôle temporaire des loyers sous l’angle de la LDTR) opérée sur cinq ans, soit, à l'échelle d'un investissement immobilier, sur du très court terme, ne saurait être considérée comme une atteinte grave aux droits fondamentaux du propriétaire (arrêt 1C_110/2017 déjà cité, consid. 4.1.2). In casu, la décision attaquée est fondée pour l’essentiel sur les art. 10 à 14 LPPPL. Elle subordonne l’autorisation de transformer les deux appartements à un contrôle des loyers maximaux admissibles durant trois ans, ce qui, au vu de la jurisprudence précitée, ne saurait constituer une atteinte grave à la garantie de la propriété de la recourante. Le principe de légalité est donc respecté. b) Selon la jurisprudence constante du Tribunal fédéral, le but poursuivi par les législations cantonales tendant à préserver l'habitat et les conditions de vie existants, notamment en restreignant l'aliénation de maisons d'habitation, procède d'un intérêt public important et reconnu (ATF 131 I 333 consid.</w:t>
      </w:r>
    </w:p>
    <w:p>
      <w:r>
        <w:rPr>
          <w:b/>
        </w:rPr>
        <w:t>E. 4</w:t>
      </w:r>
    </w:p>
    <w:p>
      <w:r>
        <w:t>Les zones géographiques sont celles établies par l'office fédéral en charge du logement dans le cadre de la fixation des limites de coûts et des montants des prêts en faveur des immeubles locatifs.</w:t>
      </w:r>
    </w:p>
    <w:p>
      <w:r>
        <w:rPr>
          <w:b/>
        </w:rPr>
        <w:t>E. 5</w:t>
      </w:r>
    </w:p>
    <w:p>
      <w:r>
        <w:t>Le service peut, sur production d'une analyse spécifique, augmenter les valeurs plafond de l'alinéa 2 d'au maximum 5 %, en fonction de performances énergétiques accrues.</w:t>
      </w:r>
    </w:p>
    <w:p>
      <w:r>
        <w:rPr>
          <w:b/>
        </w:rPr>
        <w:t>E. 6</w:t>
      </w:r>
    </w:p>
    <w:p>
      <w:r>
        <w:t>Le service peut, sur production d'une analyse spécifique, augmenter les valeurs plafond de l'alinéa 2 d'au maximum 5% pour tenir compte des caractéristiques des logements protégés ainsi que des logements pour étudiants.</w:t>
      </w:r>
    </w:p>
    <w:p>
      <w:r>
        <w:rPr>
          <w:b/>
        </w:rPr>
        <w:t>E. 7</w:t>
      </w:r>
    </w:p>
    <w:p>
      <w:r>
        <w:t>Les valeurs plafond de l'alinéa 2 sont augmentées de 5% pour les LLA non soumis à quotas qui ne sont pas des logements protégés ni pour étudiants.</w:t>
      </w:r>
    </w:p>
    <w:p>
      <w:r>
        <w:rPr>
          <w:b/>
        </w:rPr>
        <w:t>E. 8</w:t>
      </w:r>
    </w:p>
    <w:p>
      <w:r>
        <w:t>Les considérants qui précèdent conduisent par conséquent au rejet des recours et à la confirmation des décisions attaquées. La recourante, qui succombe, supportera un émolument de justice (cf. art. 49 al. 1, 91 et 99 LPA-VD). Pour les mêmes raisons, il ne sera pas alloué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