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AC.2019.0017 vom 26. Juli 2019</w:t>
      </w:r>
    </w:p>
    <w:p>
      <w:r>
        <w:t>VD Tribunal cantonal, 2019-07-26, FR</w:t>
      </w:r>
    </w:p>
    <w:p>
      <w:r>
        <w:rPr>
          <w:b/>
        </w:rPr>
        <w:t xml:space="preserve">Quelle: </w:t>
      </w:r>
      <w:r>
        <w:t>https://mcp.opencaselaw.ch/entscheid/vd_omni_AC.2019.0017</w:t>
      </w:r>
    </w:p>
    <w:p>
      <w:r>
        <w:t>FR: VD_OMNI AC.2019.0017 du 26 juillet 2019</w:t>
      </w:r>
    </w:p>
    <w:p>
      <w:r>
        <w:t>IT: VD_OMNI AC.2019.0017 del 26 luglio 2019</w:t>
      </w:r>
    </w:p>
    <w:p>
      <w:pPr>
        <w:pStyle w:val="Heading2"/>
      </w:pPr>
      <w:r>
        <w:t>Regeste</w:t>
      </w:r>
    </w:p>
    <w:p>
      <w:r>
        <w:t>A.________/Direction générale de l'environnement DGE-DIRNA, Municipalité de Rolle | Recours d'une propriétaire contre une décision d'exécution par substitution relative à une précédente décision ordonnant de reboiser la rive d'un cours d'eau sur 3 secteurs (A, B et C). Il n'y a pas lieu de suspendre la cause jusqu'à droit connu sur une procédure de modification du plan de quartier - qui pourrait impliquer une nouvelle délimitation de l'aire forestière sur la parcelle de la recourante - dès lors que le droit vaudois ne prévoit pas d'effet anticipé positif et que la DGE, service cantonal compétent en la matière, a d'ores et déjà indiqué qu'elle s'opposerait à cette modification. Constat que la décision d'exécution par substitution litigieuse correspond à la décision de base (entrée en force), la convention passée dans l'intervalle entre la DGE et la recourante n'ayant eu que pour effet de préciser les modalités du reboisement sans en remettre en question le principe ou l'étendue. L'argument selon lequel les plantations exigées ont déjà été effectuées n'est pas fondé en tous les cas pour les secteurs B (plantations ne correspondant pas à ce qui était requis) et C (essences forestières à prévoir également sur les surfaces comprises entre des murets historiques). Pour le reste, les plantations exigées, qui ne sont pas susceptibles de poser des problèmes de sécurité en lien avec les risques de crues, peuvent être effectuées de manière à ne pas porter atteinte à l'habitation de la recourante. Recours rejeté.</w:t>
      </w:r>
    </w:p>
    <w:p>
      <w:pPr>
        <w:pStyle w:val="Heading2"/>
      </w:pPr>
      <w:r>
        <w:t>Erwägungen</w:t>
      </w:r>
    </w:p>
    <w:p>
      <w:r>
        <w:rPr>
          <w:b/>
        </w:rPr>
        <w:t>E. 1</w:t>
      </w:r>
    </w:p>
    <w:p>
      <w:r>
        <w:t>La recourante requiert la suspension de la cause jusqu'à droit connu sur la procédure de modification du plan de quartier "Fleur d'Eau", actuellement pendante. Elle relève qu'à supposer que celle-ci soit menée à terme, la présente cause perdrait alors son objet puisque les aménagements de la zone devraient être appréciés au regard de la nouvelle collocation du secteur. L'autorité intimée s'oppose à la suspension de la cause, en relevant qu'elle s'opposera à tout défrichement en rive droite de la Gillière dans le cadre d'une éventuelle modification du plan de quartier. Le SDT plaide pour sa part en faveur d'une suspension de la procédure de modification du plan de quartier "Fleur d'Eau" jusqu'à droit connu dans plusieurs procédures pendantes impliquant la recourante et la DGE. a) L'autorité peut, d'office ou sur requête, suspendre la procédure pour de justes motifs, notamment lorsque la décision à prendre dépend de l'issue d'une autre procédure ou pourrait s'en trouver influencée d'une manière déterminante (art. 25 de la loi du 28 octobre 2008 sur la procédure administrative [LPA-VD; BLV 173.36]).  La suspension de la procédure comporte toutefois le risque de retarder inutilement la procédure, de sorte qu’elle ne doit intervenir qu’à titre exceptionnel, eu égard à l’exigence de célérité posée par l’art. 29 al. 1 de la Constitution fédérale de la Confédération suisse du 18 avril 1999 (Cst.; RS 101). L’autorité saisie dispose d’une certaine marge d’appréciation dont elle doit faire usage en procédant à une pesée des intérêts des parties (PS.2018.0068 du 31 octobre 2018 consid. 3a et les réf. cit.). b) La recourante ne saurait se prévaloir de la modification du plan de quartier "Fleur d'Eau" actuellement à l'étude dès lors que le droit vaudois de la construction ne prévoit pas d'effet anticipé positif (AC.2017.0108 du 13 novembre 2017 consid. 5c/aa; AC.2013.0225 du 29 août 2013 consid. 2a). On relève par ailleurs que la recourante a personnellement participé à une séance le 18 mars 2004 réunissant les propriétaires concernés, des membres de la municipalité, ainsi qu'une collaboratrice du bureau O.________, concernant le plan de quartier "Fleur d'Eau". Le procès-verbal relatif à cette séance, daté du 31 mars 2004, indique ce qui suit (p. 3): "Depuis le 18 mars : La constatation des lisières forestières, procédure soumis à l'enquête publique parallèlement au PQ, a été entreprise le 25 mars avec l'inspecteur forestier (F.________) et le bureau de géomètre P.________ afin de fixer les lisières de la forêt en plan. Cette procédure permettra d'établir un plan des contraintes naturelles (forêts, rivières) et de définir les zones inconstructibles." Il doit ainsi être admis que la recourante (propriétaire de la parcelle n° 336 depuis 2003 selon ses explications) connaissait, respectivement devait connaître l'étendue de la portion de forêt située sur sa parcelle telle que délimitée par le projet de plan de quartier. Comme le relève pertinemment l'autorité intimée, s'il elle entendait contester cette délimitation, il lui appartenait alors de le faire durant la mise à l'enquête du plan de quartier. S'en étant abstenue à l'époque, la délimitation de l'aire forestière telle que fixée dans le plan de quartier "Fleur d'Eau" lui est opposable. Enfin, une modification de la délimitation de l'aire forestière du secteur litigieux dans le cadre d'une procédure de modification du plan de quartier "Fleur d'Eau" n'apparaît guère envisageable dès lors que le service cantonal compétent en la matière a d'ores et déjà indiqué qu'il s'y opposerait. Il n'y a dans ces conditions pas lieu de donner suite à la requête de suspension formulée par la recourante.</w:t>
      </w:r>
    </w:p>
    <w:p>
      <w:r>
        <w:rPr>
          <w:b/>
        </w:rPr>
        <w:t>E. 2</w:t>
      </w:r>
    </w:p>
    <w:p>
      <w:r>
        <w:t>L'objet du litige est circonscrit à la question de savoir si l'ordre d'exécution par substitution du 3 décembre 2018 relatif à l'ordre de remise en état du 24 août 2011 (décision de base aujourd'hui en force) est justifié. Il convient plus particulièrement d'examiner si l'ordre d'exécution par substitution correspond à la décision de base, ce que conteste la recourante. Il convient également d'examiner si l'exigence relative au reboisement de l'entier de la surface soumise à la législation forestière en rive droite de la Gillière est d'ores et déjà remplie, ce qui implique qu'il n'y a pas lieu à exécution par substitution. Ce sera le cas s'il est établi que des plantations correspondant à la liste figurant dans le courrier de la DGE à la recourante du 13 avril 2017 ont été effectuées. Il y a lieu de constater que cette liste constitue une modalité d'exécution de la décision de base du 24 août 2011. Pour ce qui est de l'objet du litige, on peut encore relever qu'il ressort du courrier de la DGE du 8 mai 2018 que les plantations qui n'auraient pas été effectuées en conformité avec à l'ordre de remise en état du 24 août 2011 concernent trois secteurs précisément délimités, soit les secteurs A, B et C selon le plan annexé au courrier du 8 mai 2018.</w:t>
      </w:r>
    </w:p>
    <w:p>
      <w:r>
        <w:rPr>
          <w:b/>
        </w:rPr>
        <w:t>E. 3</w:t>
      </w:r>
    </w:p>
    <w:p>
      <w:r>
        <w:t>a) aa) La loi fédérale sur les forêts du 4 octobre 1991 (LFo; RS 921.0) a pour but général la protection des forêts, notamment la conservation de l'aire forestière (art. 1 et 3 LFo). La notion de forêt est définie à l'art. 2 al. 1 LFo; elle s'entend de toutes les surfaces couvertes d'arbres ou d'arbustes forestiers à même d'exercer des fonctions forestières, sans égard à leur origine, à leur mode d'exploitation ou aux mentions figurant au registre foncier. Sont assimilés aux forêts, les forêts pâturées, les pâturages boisés, les peuplements de noyers et de châtaigniers (art. 2 al. 2 let. a LFo), les surfaces non boisées ou improductives d'un bien-fonds forestier telles que les vides ou les surfaces occupées par des routes forestières ou d'autres constructions ou installations forestières (art. 2 al. 2 let. b LFo), ou encore les biens-fonds faisant l'objet d'une obligation de reboiser (art. 2 al. 2 let. c LFo). En revanche, ne sont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 (art. 2 al. 3 LFo). Dans le cadre de la législation d'exécution qu'il leur appartient d'adopter (art. 50 LFo et 66 de l’ordonnance du 30 novembre 1992 sur les forêts [OFo; RS 921.01]), les cantons peuvent, dans les limites fixées par le Conseil fédéral, préciser la largeur, la surface et l'âge minimaux que doit avoir un peuplement sur une surface conquise par la forêt ainsi que la largeur et la surface minimales que doit avoir un autre peuplement pour être considéré comme forêt (art. 2 al. 4 LFo). Les limites précitées ont été précisées à l'art. 1 al. 1 OFo de la façon suivante: surface comprenant une lisière appropriée: de 200 à 800 m 2 ; largeur comprenant une lisière appropriée: de 10 à 12 mètres; âge du peuplement sur une surface conquise par la forêt: 10 à 20 ans. Si le peuplement en question exerce une fonction sociale ou protectrice particulièrement importante, les critères cantonaux ne sont pas applicables (art. 1 al. 2 OFo et 2 al. 4 LFo). Ces critères sont établis dans le droit cantonal vaudois à l'art.</w:t>
      </w:r>
    </w:p>
    <w:p>
      <w:r>
        <w:rPr>
          <w:b/>
        </w:rPr>
        <w:t>E. 4</w:t>
      </w:r>
    </w:p>
    <w:p>
      <w:r>
        <w:t>al. 1 de la loi forestière du 8 mai 2012 (LVLFo; BLV 921.01), qui dispose que sont reconnus comme forêts les surfaces boisées de 800 m 2 et plus (let. a); les cordons boisés de douze mètres de largeur et plus (let. b); les surfaces conquises par un peuplement fermé âgé de plus de vingt ans (let. c). bb) Pour ce qui relève des fonctions forestières de la forêt, l'art. 2 al. 1 LFo dispose que toute surface couverte d'arbres ou d'arbustes forestiers à même d'exercer des fonctions forestières est une forêt. L'art. 1 al. 1 let. c LFo mentionne, à titre de "fonctions de la forêt", les fonctions protectrice, sociale et économique. Dans ce cadre, il suffit que la surface boisée puisse assumer l'une ou l'autre fonction forestière pour être considérée comme telle (TF 1A.225/2005 du 17 octobre 2006 consid. 7 et les références citées; arrêt AC.2018.0231 du 18 mars 2019 consid. 2a/bb). En outre, la protection du paysage, c'est-à-dire la fonction optique et esthétique d'un peuplement et son importance biologique en tant que milieu vital pour la flore et la faune font également partie des fonctions sociales de la forêt (ATF 124 II 85 consid. 3d/bb; TF 1A.319/2005 du 28 août 2006 consid. 3.3). Dans son Message du 29 juin 1988 concernant la LFo (FF 1988 III 157, p. 172), le Conseil fédéral a précisé que les forêts exercent une fonction protectrice lorsqu'elles protègent la population ou des valeurs matérielles contre des catastrophes naturelles telles que les avalanches, les glissements de terrain, l'érosion et les chutes de pierres; elles représentent une fonction économique lorsque la matière première que représente le bois est exploitée; enfin, elles exercent une fonction sociale lorsque leur situation, leur structure, leur peuplement et leur aménagement leur permettent de servir de zone de délassement à la population, lorsque par leur forme, elles modèlent le paysage, lorsqu'elles protègent contre des nuisances telles que le bruit ou les immissions, qu'elles assurent des réserves d'eau de quantité et de qualité suffisantes ou encore qu'elles offrent à la faune et à la flore un habitat irremplaçable (concernant la fonction sociale, voir. ég. ATF 124 II 185 consid. 3d/bb et les références citées; TF 1C_559/2016 du 28 août 2017 consid.5.1). Selon la jurisprudence, les critères quantitatifs servent à clarifier la notion qualitative de forêt. Sauf circonstances particulières, la nature forestière doit être reconnue lorsque les critères quantitatifs sont satisfaits, de sorte que ces derniers constituent des seuils minimaux. On ne peut cependant nier la qualité de forêt du simple fait que ces seuils ne sont pas atteints: les critères quantitatifs doivent concrétiser la notion qualitative de forêt, et non la vider de son sens (cf. ATF 125 II 440 consid. 3; TF 1C_559/2016 précité consid. 5.1). Ce qui est décisif dans ce cadre, ce n'est ainsi pas le respect des critères quantitatifs – qui ne sont pas à eux seuls déterminants –, mais l'existence des attributs forestiers typiques, de manière à ce que le peuplement puisse exercer des fonctions forestières (cf. arrêts AC.2014.0224 du 27 juillet 2016 consid.4b; GE.2011.0084 du 17 juillet 2012 consid. 4b). En vertu de l'art. 2 al. 1 LFo, "la mention au registre foncier n['est] pas pertinent[e]" pour définir une aire forestière, mais c'est bien la capacité de la surface en cause d'exercer les fonctions forestières qui est déterminante. C'est la croissance effective du peuplement et sa fonction au moment de la décision qui sont déterminants pour décider s'il s'agit d'une forêt (ATF 124 II 85 consid. 4d; JdT 1998 I p. 507; arrêt précité AC.2018.0231 consid. 2a/cc). cc) La LFo prévoit une procédure de constatation de la nature forestière d'un bien-fonds. Selon l'art. 10 LFo, celle-ci peut intervenir à la demande d'une personne disposant d'un intérêt digne d'être protégé à obtenir une décision sur ce point (al. 1) ou doit être ordonnée lors de l'édiction et de la révision des plans d'affectation au sens de la loi fédérale du 22 juin 1979 sur l'aménagement du territoire (LAT; RS.700) (al. 2), là où des zones à bâtir confinent ou confineront la forêt (let. a) et là où, en dehors des zones à bâtir, le canton veut empêcher une croissance de la surface forestière (let. b). A teneur de l'art. 13 LFo, les limites des biens-fonds dont la nature forestière a été constatée conformément à l'art. 10 al. 2 LFo sont fixées dans les plans d'affectation (al. 1). Les nouveaux peuplements à l'extérieur de ces limites de forêts ne sont pas considérés comme forêt (al. 2). Les limites de forêts peuvent être réexaminées dans le cadre d'une procédure en constatation de la nature forestière conformément à l'art. 10 lorsque les plans d'affectation sont révisés et que les conditions effectives se sont sensiblement modifiées (al. 3). La procédure de constatation de l'aire forestière est réglée à l'art 24 LVLFo. En principe, l'autorité forestière compétente pour procéder à une constatation de nature forestière au sens de l'art 10 LFo doit se fonder sur la situation effective du terrain au moment où elle statue (cf. art. 1 du Règlement d'application de la loi forestière du 8 mai 2012 [RLVLFo; BLV 921.01.1], qui prévoit que la limite de la forêt est déterminée par la nature des lieux). Dans certaines circonstances, l'existence d'une forêt peut toutefois être admise malgré l'absence de boisement, en particulier lorsqu'il apparaît qu'un défrichement a eu lieu sans autorisation; en effet, la suppression d'un couvert forestier sans autorisation de défricher ne modifie pas le caractère forestier du terrain concerné et le moment déterminant pour évaluer la nature du boisement n'est alors plus celui de la décision de première instance (cf. ATF 124 II 85 consid. 4d; JdT 1998 I p. 507; 120 Ib 339 consid. 4; JdT 1996 I p. 543; TF 1C_239/2016 du 13 février 2017 consid. 3; 1C_187/2014 du 13 novembre 2014 consid. 5.1). Ainsi, tant que la procédure de défrichement n'a pas été menée à chef et approuvée par l'autorité compétente, le sol forestier reste soumis à l'affectation forestière (cf. arrêts AC.2016.0088 du 4 novembre 2016 consid. 2c; AC.2009.0170 du 25 février 2014 consid. 4 et les références citées). L'intérêt à la conservation de la forêt est reconnu de plein droit pour les surfaces d'où la forêt a été éliminée sans autorisation; elles sont assujetties à l'obligation de reboiser et elles continuent ainsi à appartenir à l'aire forestière (cf. art. 2 al. 2 let. c LFo; TF 1C_239/2016 du 13 février 2017 consid. 3; arrêt précité AC.2018.0231 consid. 2a/cc). dd) L'art. 5 al. 1 LFo dispose que les défrichements – par quoi on entend tout changement durable ou temporaire de l'affectation du sol forestier, cf. art. 4 LFo – sont interdits. Selon l'art. 5 al. 2 LFo, une autorisation peut être accordée à titre exceptionnel au requérant qui démontre que le défrichement répond à des exigences primant l'intérêt à la conservation de la forêt, à condition que l'ouvrage pour lequel le défrichement est sollicité ne puisse être réalisé qu'à l'endroit prévu (let. a); l'ouvrage remplisse, du point de vue matériel, les conditions posées en matière d'aménagement du territoire (let. b) et que le défrichement ne présente pas de sérieux dangers pour l'environnement (let. c). A cela s'ajoute que les exigences de la protection de la nature et du paysage doivent être respectées (art. 5 al. 4 LFo) et que les dérogations à l'interdiction de défricher doivent être limitées dans le temps (art. 5 al. 5 LFo). L'art. 7 al. 1 et 2 LFo prévoit encore que tout défrichement doit être compensé en nature ou, à certaines conditions, par des mesures équivalentes en faveur de la nature et du paysage. L'art.</w:t>
      </w:r>
    </w:p>
    <w:p>
      <w:r>
        <w:rPr>
          <w:b/>
        </w:rPr>
        <w:t>E. 7</w:t>
      </w:r>
    </w:p>
    <w:p>
      <w:r>
        <w:t>al. 3 let. b LFo dispose qu'il est possible de renoncer à la compensation du défrichement notamment pour assurer la protection contre les crues et la revitalisation des eaux. L'art. 9a de l'ordonnance fédérale du 30 novembre 1992 sur les forêts (OFo; RS 921.01), disposition qui précise l'art. 7 al. 3 LFo, prévoit que dans des projets de protection contre les crues ou de revitalisation des eaux, il est possible de renoncer à la compensation du défrichement, en particulier sur des surfaces qui ne peuvent plus être reboisées. A l'appui de la renonciation à l'exigence de compensation en ce qui concerne les ouvrages de protection contre les crues, le législateur relevait ceci (cf. rapport du 3 février 2011 de la Commission de l’environnement, de l’aménagement du territoire et de l’énergie du Conseil des Etats relatif à l'initiative parlementaire intitulée " Flexibilisation de la politique forestière en matière de surface ", FF 2011 4085, ch. 3.7.5 p. 4102 s.). " 3.7.5 Aménagement des cours d’eau et revitalisation . Afin d’assurer la protection contre les crues, il peut être nécessaire de pratiquer des défrichements sur les rives de cours d’eau ou de plans d’eau pour y bâtir des ouvrages. Mais, en vertu de la loi sur les forêts, tout défrichement doit d’abord être compensé en nature dans la même région. La compensation en nature peut néanmoins aller à l’encontre de l’objectif de protection contre les crues. Désormais, on aura la possibilité de renoncer à compenser les défrichements puisque des mesures de revalorisation doivent être prises dans le cadre des exigences légales en matière d’aménagement des cours d’eau (p. ex. pour le maintien ou la création d’une végétation des rives adaptée à la station). Par ailleurs, la qualification de mesures de protection contre les crues comme fondamentalement conformes à la surface forestière irait plus loin, ainsi que c’est par exemple le cas selon l’art. 4, let. a, de l’ordonnance sur les forêts pour l’affectation du sol forestier à de petites constructions non forestières. Dans ce cas, la nécessité d’une autorisation de défricher disparaîtrait totalement. Néanmoins, une telle solution exigerait une base légale et – comme déjà indiqué (3.4) – ne serait pas compatible avec l’objectif du projet. (…) 4. Commentaire par article (…) Al. 3, let. b: Les mesures de construction destinées à garantir la protection contre les crues se fondent sur l’art. 4 de la loi du 21 juin 1991 sur l’aménagement des cours d’eau,38 et celles concernant la revitalisation des cours d’eau procèdent de l’art. 38a de la loi du 24 janvier 1991 sur la protection des eaux (LEaux).39 Ces mesures satisfont la condition matérielle de défrichement. Souvent, les mesures de valorisation exigée par la loi pourront être qualifiées de mesures équivalentes en faveur de la protection de la nature et du paysage et remplissent donc suffisamment la condition de compensation du défrichement. " b) Le plan de quartier "Fleur d'Eau" reprend notamment l'objectif du plan directeur communal, à savoir préserver les espaces boisés en bordure du lac, faire le relever (sic) de l'arborisation, conserver et, le cas échéant, compenser l'arborisation existante (art. 2 al. 1 RPQ). Le périmètre du plan de quartier se subdivise en plusieurs aires, soit l'aire de construction, l'aire d'implantation pour des bâtiments comportant des mesures architecturales adaptées à la protection contre le bruit, l'aire des aménagements extérieurs (jardins), l'aire de protection des bâtiments recensés, l'aire de protection des rives du lac et enfin l'aire forestière (art. 4 RPQ). Cette dernière est régie aux art. 28 à 30 du RPQ, ainsi libellés: " Article 28  Aire forestière L'aire forestière est régie et définie par les dispositions de la législation forestière fédérale et cantonale. Il est notamment interdit, sans autorisation préalable du service forestier, d'abattre des arbres, de faire des dépôts, d'ériger des clôtures et de bâtir en forêt à moins de 10 m des lisières. Article 29  Constatation de nature forestière Le présent plan d'affectation constitue le document formel de constatation de nature forestière et de limite des forêts aux termes de la législation forestière fédérale, dans les zones à bâtir et dans la bande des 10 mètres confinant celle-ci. Article 30  Végétation non soumise au régime forestier 1 Les surfaces boisées non soumises au régime forestier (bosquets, arbres et arbustes isolés) sont protégées par les législations fédérales (en particulier art. 18 LPN), cantonales (notamment art. 5 et 7 LPNMS et art. 21 Loi sur la faune) et communales (en particulier règlement de classement des arbres). Aucune atteinte ne pourra leur être portée sans autorisation préalable de la Municipalité, qui au besoin consultera les instances cantonales compétentes (Centre de Conservation de la faune et de la nature). 2 La végétation non soumise au régime forestier située à l'intérieur ou en limite des périmètres de construction pourra toutefois être supprimée pour permettre des constructions rationnelles. Dans ce cas, son remplacement sera exigé dans les secteurs mentionnés à cette effet en plan, au plus tard une année après l'abattage. 3 Les nouvelles plantations se feront de préférence au moyen d'essence indigènes. " 4. La recourante soutient que la décision d'exécution par substitution litigieuse ne correspond pas à la décision de base et doit pour ce motif être annulée. a) aa) L'exécution des décisions non pécuniaires est réglée par l'art. 61 LPA-VD, dont la teneur est la suivante: " 1 Pour exécuter les décisions non pécuniaires, l’autorité peut procéder: a. à l’exécution directe contre la personne de l’obligé ou de ses biens; b. à l’exécution par un tiers mandaté, aux frais de l’obligé. 2 L’autorité peut au besoin recourir à l’aide de la police cantonale ou communale. 3 Avant de recourir à un moyen de contrainte, l’autorité en menace l’obligé et lui impartit un délai approprié pour s’exécuter. Elle attire son attention sur les sanctions qu’il peut encourir. 4 S’il y a péril en la demeure, l’autorité peut procéder à l’exécution sans en avertir préalablement l’obligé. 5 Les frais mis à la charge de l’obligé sont fixés par décision de l’autorité." bb) L'exécution par équivalent est l'un des trois moyens d'exécution forcée dont dispose l'autorité, les deux autres étant la contrainte directe et l'exécution immédiate. Elle correspond à l'ensemble des actes par lesquels les agents de l'Etat ou les tiers qu'il charge de cette tâche remplissent une obligation à la place de l'obligé et à ses frais (ATF 105 Ib 343). Exceptés les cas d'urgence, elle comprend plusieurs phases: premièrement, la prise d'une décision de base avec sommation et menace d'exécution par substitution (art. 61 al. 3 LPA-VD); deuxièmement, la constatation de l'inexécution et la décision de confier les travaux à un tiers; troisièmement, la décision sur les frais suite à l'exécution (art. 61 al. 5 LPA-VD). Même si la deuxième phase ne figure pas clairement à l'art. 61 al. 1 LPA-VD, il est admis que chacune de ces phases constitue une nouvelle décision susceptible de recours (arrêt FI.2016.0028 du 22 juin 2016 consid. 2a et la réf. cit.). Selon la jurisprudence toutefois, une décision qui ne fait qu'ordonner l'exécution de travaux commandés par une décision entrée en force ne peut pas faire l'objet d'un recours tendant à contester le bien-fondé de cette dernière, dès lors qu'elle ne modifie pas la situation juridique de l'administré (cf. notamment ATF 119 Ib 492 consid. 3c p. 499; arrêts FI.2016.0028 précité consid. 2a; AC.2008.0135 du 5 février 2009 consid. 2; AC.2004.0295 du 5 août 2005). En effet, les mesures qui se fondent sur une décision antérieure ne peuvent plus être attaquées pour des motifs qui pouvaient être invoqués à l'encontre de la décision initiale (RDAF 1986 p. 314; André Grisel, Traité de droit administratif, vol. II, p. 994). Partant, la validité de la décision de base (" Sachverfügung" ) ne pourra plus être remise en question aux stades ultérieurs de la procédure, sauf en cas de nullité ou de violation d'une liberté publique inaliénable et imprescriptible (ATF 105 Ia 15 consid. 3 et références; FI.2016.0082 précité consid. 2a). En revanche, les conditions de l’exécution par substitution, soit le choix de l’entrepreneur, ainsi que les délais et modalités d’exécution, peuvent être contestés dans la mesure où ils n’ont pas été définis par la décision de base (arrêt AC.2009.0247 du 30 mars 2010 consid. 1). La présence d’indications telles que le coût probable des travaux de démolition ne saurait être érigée en condition de validité de la décision d’exécution (arrêts AC.2010.0185 du 6 décembre 2010 consid. 5; AC.2009.0247 du 30 mars 2010). Le contrôle de la proportionnalité de la mesure reste quant à lui garanti, puisque les recourants peuvent, à réception de la décision arrêtant les frais mis à leur charge, faire recours s'ils estiment excessifs les coûts de l'exécution par équivalent (FI.2016.0082 précité consid. 2a; art. 61 al. 5 LPA-VD). L'autorité peut faire procéder à l'exécution par équivalent sans sommation préalable s'il y a péril en la demeure (art. 61 al. 4 LPA-VD) ou lorsqu'il est d'emblée clair que l'intéressé n'obtempérera pas à l'injonction parce qu'il n'a pas les moyens ou la volonté nécessaires (ATF 105 Ib 343 consid. 4b; 94 I 403 consid. 3 p. 408; 91 I 295 consid. 3a). Même si cette dernière circonstance n’est pas mentionnée à l’art. 61 LPA-VD, il faut considérer qu’elle garde sa pertinence, à l’instar de ce qui est le cas en droit fédéral par rapport à l’art. 41 al. 2 de la loi fédérale du 20 décembre 1968 sur la procédure administrative (PA; RS 172.021) dont la teneur est similaire (arrêts FI.2016.0082 précité consid. 2a; AC.2010.0185 du 6 décembre 2010 consid. 3 en référence à l'ATF 105 Ib 343 consid. 4c; GE.2011.0124 du 17 avril 2012 consid. 5a). Dans le cadre d'une exécution par substitution, la collectivité publique qui est contrainte d'intervenir n'a pas à traiter l'affaire comme si elle était elle-même mandatée par le propriétaire déficient. Ce n'est pas son affaire que de tout mettre en œuvre pour sauvegarder les intérêts de celui qui l'oblige à agir en raison de sa mauvaise volonté ou de son incurie. Seule la négligence grave peut lui être reprochée dans la manière de mandater l'entreprise choisie et d'exécuter sa décision. Dans ce cadre, elle n'a pas à se soucier de trouver la solution la plus judicieuse ou la moins chère pour faire cesser le trouble causé par le perturbateur (arrêt AC.2012.0147 du 6 février 2019 consid. 3c/bb et les réf. cit.). Il résulte de ce qui précède que l'obligation de prendre en charge les frais d'exécution par substitution ne s'étend qu'à ceux nécessités par la bonne exécution de la mesure de rétablissement des lieux, dans le cadre des prix usuels (1C_462/2014 du 16 octobre 2015 consid. 4.1.1; AC.2012.0147 précité consid. 3c/bb). Dans ce cadre, l'autorité jouit d'un important pouvoir d'appréciation et seules les dépenses manifestement inutiles doivent être retranchées (ATF 102 Ib 203 consid. 6 p. 211; 1A.248/2002 du 17 mars 2003 consid. 2.2). Les frais ne doivent toutefois pas être déterminés de manière trop restrictive (ATF 122 II 26 consid. 4c p. 32; 1A.250/2005 du 14 décembre 2006 consid. 6.1; AC.2012.0147 précité consid. 3c/bb). b) En l'occurrence, la recourante fait valoir que la décision de base n'est plus celle du 24 août 2011 mais résulte de la convention passée le 17 mars 2017, document dont elle indique qu'il a prévu et modifié l'ordre de reboisement de la rive droite de la Gillière en stipulant notamment que soit exclu de celui-ci ce qui se trouve à l'intérieur des limites d'infrastructures existantes. S'agissant des trois secteurs qui, selon l'autorité intimée, sont à reboiser, la recourante relève que le secteur A est déjà planté conformément aux consignes de la DGE et que le secteur B correspond pour partie à une zone plantée et pour partie à un espace de stationnement existant, exclu de l'obligation de reboiser par la convention du 17 mars 2017. Elle relève enfin que le secteur C, situé entre des murets historiques et des aménagements existants, est également exclu de l'obligation de reboisement par la convention du 17 mars 2017, exclusion justifiée tant au regard des risques hydrogéologiques que de la proximité de la maison de maître. La recourante explique avoir pensé que la signature de la convention du 17 mars 2017, prévoyant expressément l'exclusion d'un boisement aussi inutile que dangereux aux emplacements mentionnés par la convention, aurait permis d'éviter une plantation injustifiée pour divers motifs. Elle relève ne pas avoir imaginé que sur ces nouvelles bases, l'autorité intimée maintiendrait ses exigences, injustifiées au fond et contraires à la convention. Dans sa réponse, l'autorité intimée fait valoir que la décision litigieuse tend à l'exécution forcée du chiffre 3 de la décision du 24 août 2011. Elle indique que la convention du 17 mars 2017 n'a pas modifié l'ordre de remise en état du 24 août 2011, mais a pour objet sa mise en œuvre, par une précision du périmètre des plantations tenant compte des aménagements existants en 2011 se situant dans l'aire forestière. c) Contrairement à ce que soutient la recourante, on ne saurait considérer que la convention du 17 mars 2017 a eu pour conséquence de modifier l'ordre de remise en état du 24 août 2011 entré en force. Cette convention a tout au plus pour fonction de préciser les modalités du reboisement de la rive droite de la Gillière tel qu'ordonné le 24 août 2011, sans en remettre en question le principe ou l'étendue. Pour ce qui est de l'argument selon lequel les plantations exigées ont d'ores et déjà été effectuées, on relève que cet argument n'est en tous les cas pas fondé en ce qui concerne les secteurs B et C. Pour le secteur B, il ressort ainsi de la vision locale et des déclarations de la recourante que des hortensias ont été plantées, ce qui ne correspond pas à ce qui est demandé. On ne saurait dès lors considérer que, à ce jour, l'obligation de reboiser ce secteur est respectée. Cela étant, s'agissant du parking en grille-gazon, il ressort des pièces du dossier (notamment de la photo aérienne de 1998 produite par la recourante) et des explications de la municipalité que celui-ci a été réalisé en 2004 dans un secteur qui était aménagé en dur depuis longtemps, soit probablement depuis 1976 lorsqu'ont été construites les deux "ailes" de la maison de maître. On peut dès lors admettre, non sans hésitations, qu'il s'agit d'une installation existant depuis plus de 25 ans qui, selon le courrier de la DGE du 13 avril 2017, est exclue du périmètre devant être reboisé. Pour le secteur C, y compris la zone sur le DP 12 vue l'utilisation qui en est faite par la recourante, cette dernière considère, à tort, que les secteurs compris entre les murets anciens seraient exclus de l'obligation de replanter en application des modalités convenues dans la convention du 17 mars 2017.  Seuls les murets eux-mêmes sont, par la force des choses, soustrait à l'obligation de reboiser. En revanche, contrairement à ce que soutient la recourante il n'existe pas de motifs valables justifiant de renoncer à planter des essences forestières (par exemple des buissons de sous-bois, cf. procès-verbal de l'audience) sur les surfaces comprises entre les murets historiques. De même, le tribunal n'a pas de raison de mettre en doute les explications données par l'inspecteur des forêts lors de l'audience selon lesquelles les "plantations de parc existants" exclues de l'obligation de reboiser par la convention correspondent uniquement aux massifs de buis dont la présence a pu être constatée lors de la vision locale. Quand bien même la validité de la décision de base (soit la décision du SFFN du 24 août 2011) faisant l'objet de la procédure d'exécution par substitution ne peut pas être revue dans le cadre de la présente procédure, le tribunal relèvera, en réponse à un des arguments principaux soulevés par la recourante, que les plantations demandées  sur la rive droit de la Gillière ne sont pas susceptibles de poser des problèmes de sécurité en relation avec les risques de crues de ce cours d'eau et au regard du souhait que le gabarit hydraulique prévu reste libre de toute plantation. Contrairement à ce qu'elle soutient dans sa dernière écriture, il n'est pas exigé de la recourante qu'elle réalise des "'plantations forestières imposantes mettant en danger habitants et bâtiments". Il lui est en effet uniquement demandé de reboiser l'entier de la surface soumise à la législation forestière en rive droite de la Gillière avec des arbustes forestiers (ch. 3 de la décision de base du 24 août 2011). Les courriers de la DGE des 13 avril et 9 octobre 2017 mentionnent pour leur part la plantation de "buissons/arbustes indigènes". Il n'est ainsi pas exigé de la recourante qu'elle plante des grands arbres avec des racines invasives et il est par conséquent possible de réaliser les plantations requises par la décision de base du 24 août 2011 sans mettre en péril les travaux réalisés en 2008 pour la protection contre les crues. De même, ces plantations peuvent être effectuées de manière à ne pas porter atteinte à la maison de maître, étant précisé que, en cas de besoin avéré, la DGE peut autoriser des abattages. Comme les représentants du service cantonal spécialisé l'ont relevé lors de l'audience, il est au demeurant fréquent que des gabarits hydrauliques soient présents dans des aires forestières. d) Il ressort de ce qui précède que la recourante ne saurait être suivie lorsqu'elle prétend que la décision d'exécution par substitution litigieuse ne correspond pas  à la décision de base, ceci même en tenant compte des modalités prévues dans la convention du 17 mars 2017. De même, elle ne saurait être suivie lorsqu'elle soutient qu'elle a réalisé toutes les plantations exigées par la décision de base et les modalités d'exécution de cette décision convenues ultérieurement. Dans ces conditions, la décision d'exécution par substitution du 3 décembre 2018 doit être confirmée. 5. Le tribunal de céans relèvera encore qu'il apparaît douteux que la décision d'exécution par substitution litigieuse puisse être remise en cause au motif qu'une procédure de révision du PPA Fleur d'Eau a été mise en oeuvre avec notamment l'objectif de modifier l'aire forestière. Quoi qu'il en soit, cette question soufre de demeurer indécise. En effet, on ne voit pas en quoi, depuis l'entrée en vigueur du PPA Fleur d'Eau en novembre 2008, les conditions effectives se sont sensiblement modifiées au sens de l'art. 13 al. 3 LFo, ce qui pourrait justifier de réexaminer la constatation de la nature forestière dans le secteur litigieux effectuée à l'époque. On relèvera que ne saurait notamment constituer une modification des circonstances le fait qu'un ingénieur forestier mandaté par la recourante a considéré en 2014 que le classement en 2007 d'une partie importante de la propriété en forêt constituait une " monumentale erreur d'appréciation de la part du service des forêts " (cf. let. F ci-dessus). 6. Il résulte des considérants qui précèdent que le recours doit être rejeté et la décision entreprise confirmée. Succombant, la recourante supportera les frais de la cause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