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AC.2019.0010 vom 7. Juni 2019</w:t>
      </w:r>
    </w:p>
    <w:p>
      <w:r>
        <w:t>VD Tribunal cantonal, 2019-06-07, FR</w:t>
      </w:r>
    </w:p>
    <w:p>
      <w:r>
        <w:rPr>
          <w:b/>
        </w:rPr>
        <w:t xml:space="preserve">Quelle: </w:t>
      </w:r>
      <w:r>
        <w:t>https://mcp.opencaselaw.ch/entscheid/vd_omni_AC.2019.0010</w:t>
      </w:r>
    </w:p>
    <w:p>
      <w:r>
        <w:t>FR: VD_OMNI AC.2019.0010 du 7 juin 2019</w:t>
      </w:r>
    </w:p>
    <w:p>
      <w:r>
        <w:t>IT: VD_OMNI AC.2019.0010 del 7 giugno 2019</w:t>
      </w:r>
    </w:p>
    <w:p>
      <w:pPr>
        <w:pStyle w:val="Heading2"/>
      </w:pPr>
      <w:r>
        <w:t>Regeste</w:t>
      </w:r>
    </w:p>
    <w:p>
      <w:r>
        <w:t>A.________ /Municipalité de Sévery | Rejet du recours dirigé contre une décision d'exécution, impartissant au recourant un ultime délai pour abaisser des velux édifiés de manière non réglementaires dans les combles de son habitation, sous menace d'une exécution par substitution. Le recours dirigé contre la décision d'exécution ne permet pas de remettre en cause l'ordre de remise en état, définitif, sur lequel elle repose.</w:t>
      </w:r>
    </w:p>
    <w:p>
      <w:pPr>
        <w:pStyle w:val="Heading2"/>
      </w:pPr>
      <w:r>
        <w:t>Erwägungen</w:t>
      </w:r>
    </w:p>
    <w:p>
      <w:r>
        <w:rPr>
          <w:b/>
        </w:rPr>
        <w:t>E. 1</w:t>
      </w:r>
    </w:p>
    <w:p>
      <w:r>
        <w:t>La décision attaquée, relative à l'exécution d'une précédente décision municipale, peut faire l'objet d'un recours de droit administratif au sens des art. 92 ss de la loi du 28 octobre 2008 sur la procédure administrative (LPA-VD; BLV 173.36; cf. arrêt AC.2017.0346 du 5 février 2018 consid. 1). Le propriétaire foncier concerné, sommé de prendre certaines mesures, a qualité pour recourir (art. 75 let. a LPA-VD). Le recours a été déposé dans le délai de 30 jours dès la notification de la décision attaquée (art. 95 LPA-VD) et, complété par une réplique, il satisfait aux exigences de motivation (art. 79 LPA-VD). Il y a donc lieu d'entrer en matière.</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Comme le rappelle l'arrêt AC.2016.0018 du 21 mars 2016 consid. 2a, de manière générale, même en l'absence d'une base légale spéciale,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Berne 1986, p. 318). Les moyens d'exécution forcée dont dispose l'autorité à cet effet sont l'exécution par substitution (ou par équivalent), la contrainte directe, l'exécution immédiate. L'exécution par équivalent est l'ensemble des actes par lesquels les agents de l'Etat ou les tiers qu'il charge de cette tâche remplissent une obligation à la place de l'obligé et à ses frais (ATF 105 Ib 343). b) En principe, lorsque la "décision de base" n’a pas été exécutée, l’autorité impartit un dernier délai à l’administré afin qu’il s’exécute et l’informe que, à défaut, elle procédera à l’exécution par équivalent (arrêt CDAP AC.2010.0185 du 6 décembre 2010 consid. 3). C'est de cette manière que l'autorité intimée a procédé en rendant la décision attaquée. Conformément à l'art. 61 al. 3 LPA-VD, elle a imparti au recourant un dernier délai pour s'exécuter, en l'avertissant qu'à défaut, elle ordonnerait l'exécution par substitution, comme l'art. 61 al. 1 let. b LPA-VD lui permet de le faire. Le recourant ne s'en prend pas aux modalités de la décision d'exécution, mais soutient que la décision du 9 novembre 2017, qui ordonne l'abaissement des trois velux des combles, n'est pas définitive. Les parties ayant continué de parlementer ensuite durant des mois, la première décision ordonnant l'abaissement des velux ne serait valablement intervenue que le 11 décembre 2018. Le recourant est d'avis qu'il peut faire valoir dans le cadre du présent recours l'ensemble des moyens à disposition en relation avec la mise en conformité des velux. Subsidiairement, le recourant considère que les lettres qu'il a adressées à la municipalité postérieurement au 9 novembre 2017 valaient recours à l'encontre de la décision du 9 novembre 2017 et auraient dû être transmises à la CDAP comme objet de sa compétence. En l'espèce, la décision du 9 novembre 2017 impartit au recourant un délai pour exécuter des travaux de remise en état. Elle est munie de l'indication de la voie de recours à la CDAP. Le 13 novembre 2017, le recourant a demandé à la municipalité de "revenir en arrière dans cette décision", sans toutefois manifester de volonté de soumettre la cause à l'autorité de recours. Même lorsque l'autorité intimée a refusé de reconsidérer sa décision, le 28 novembre 2017, et a rappelé la voie de droit, le recourant n'a pas agi en ce sens mais a confirmé à la municipalité, le 2 décembre 2017, qu'il n'avait pas l'intention de s'exécuter, ajoutant que l'autorité pouvait le dénoncer au préfet. Plus tard, lors de l'audience préfectorale, le recourant a expliqué qu'il aurait dû faire opposition au tribunal, reconnaissant par-là ne pas avoir agi en ce sens. Dans ces conditions, le fait que la municipalité intimée n'ait considéré ni la lettre du 13 novembre 2017 du recourant, ni celle du 2 décembre 2017 comme des recours à transmettre à la CDAP n'est pas critiquable. En conclusion, la décision du 9 novembre 2017 est définitive et la décision du 11 décembre 2018, par laquelle l'autorité intimée a choisi de recourir aux mesures d'exécution est une décision d'exécution. D'après la jurisprudence, le recours dirigé contre une décision d'exécution d'un ordre de remise en état ne permet pas de remettre en cause la décision au fond, définitive et exécutoire, sur laquelle elle repose. Il n'y a d'exception à ce principe que si la décision tranchant le fond du litige a été prise en violation d'un droit fondamental inaliénable et imprescriptible du recourant ou lorsqu'elle est nulle de plein droit (arrêts TF 1C_6/2017 du 18 juillet 2014, consid. 1.2.1 ; 1C_46/2014 du 18 février 2014 consid. 2.3; 1C_603/2012 du 19 septembre 2013 consid. 4.1; ATF 119 Ib 492 consid. 3c/cc p. 499). Ces conditions ne sont pas réunies en l'espèce, car le recourant ne peut pas prétendre qu'il aurait un droit inaliénable à conserver une installation non réglementaire. En effet, le droit de propriété n'entre pas dans la catégorie des droits fondamentaux inaliénables et imprescriptibles (arrêt TF 1C_46/2014 précité; ATF 88 I 260 consid. 3; arrêt 1P.51/1998 du 26 juin 1998 consid. 3b in ZBl 101/2000 p. 32). Le recourant ne fait valoir que des arguments dirigés contre la décision de base, plaidant que les conditions d'octroi d'une dérogation seraient remplies et que l'ordre de remise en état serait disproportionné. Or ces arguments ne constituent manifestement pas des motifs de nullité qui permettraient de remettre en cause la décision de base. Il s'ensuit que la question de savoir si la remise en état des velux pouvait être ordonnée a été tranchée définitivement le 9 novembre 2017 et ne peut pas être examinée à nouveau dans le cadre d'un recours dirigé contre les modalités de la remise en état. Mal fondé, le grief du recourant ne peut ainsi qu'être rejeté, de même que ses réquisitions d'instruction (inspection locale et expertise au sujet du coût des travaux de remise en état), dont la mise en oeuvre ne servirait qu'à l'examen de la décision de base dont le tribunal considère qu'elle est définitive. c) Le délai indiqué dans la décision attaquée étant échu, il y a lieu de fixer un nouveau délai pour la régularisation des travaux. Un délai au 31 octobre 2019 paraît approprié aux circonstances. 3. Les considérants qui précèdent conduisent au rejet du recours et à la confirmation de la décision attaquée. Les frais et dépens sont mis à la charge du recourant, qui succombe (art. 49 al. 1 et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