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AC.2018.0423 vom 28. Februar 2020</w:t>
      </w:r>
    </w:p>
    <w:p>
      <w:r>
        <w:t>VD Tribunal cantonal, 2020-02-28, FR</w:t>
      </w:r>
    </w:p>
    <w:p>
      <w:r>
        <w:rPr>
          <w:b/>
        </w:rPr>
        <w:t xml:space="preserve">Quelle: </w:t>
      </w:r>
      <w:r>
        <w:t>https://mcp.opencaselaw.ch/entscheid/vd_omni_AC.2018.0423</w:t>
      </w:r>
    </w:p>
    <w:p>
      <w:r>
        <w:t>FR: VD_OMNI AC.2018.0423 du 28 février 2020</w:t>
      </w:r>
    </w:p>
    <w:p>
      <w:r>
        <w:t>IT: VD_OMNI AC.2018.0423 del 28 febbraio 2020</w:t>
      </w:r>
    </w:p>
    <w:p>
      <w:pPr>
        <w:pStyle w:val="Heading2"/>
      </w:pPr>
      <w:r>
        <w:t>Regeste</w:t>
      </w:r>
    </w:p>
    <w:p>
      <w:r>
        <w:t>A._________, B._________, C.________, D.________, E.________, F.________/Département du territoire et de l’environnement (DTE), Municipalité d'Epalinges | Conditions pour l'instauration d'une zone réservée en cas de surdimensionnement de la zone à bâtir. Le Tribunal fédéral a jugé que la zone réservée ne doit pas s'étendre à tout le territoire communal mais doit inclure seulement les secteurs qui entrent en considération pour une réduction de la zone à bâtir, mais il a aussi confirmé une zone réservée sur l'ensemble des surfaces constructibles à faible densité en considérant que le principe d'égalité de traitement empêchait que certaines parcelles soient exclues du périmètre visé, à moins qu'il apparaisse d'emblée qu'elles ne pourront pas être concernées par le remaniement de la zone à bâtir. Pour la CDAP, il s'agit de savoir si la possibilité d'un déclassement des parcelles en cause peut raisonnablement être prise en considération dans le cadre de la future révision du plan général d'affectation. Confirmation de la zone réservée cantonale instaurée sur un ensemble de parcelles (12'540 m2) entourées de nombreuses parcelles non bâties (même si l'autre côté du chemin est largement bâti) et situées à plusieurs centaines de mètres de l'arrêt de la ligne régulière de bus le plus proche.</w:t>
      </w:r>
    </w:p>
    <w:p>
      <w:pPr>
        <w:pStyle w:val="Heading2"/>
      </w:pPr>
      <w:r>
        <w:t>Erwägungen</w:t>
      </w:r>
    </w:p>
    <w:p>
      <w:r>
        <w:rPr>
          <w:b/>
        </w:rPr>
        <w:t>E. 1</w:t>
      </w:r>
    </w:p>
    <w:p>
      <w:r>
        <w:t>L'instauration d'une zone réservée est parfois qualifiée de mesure provisionnelle, autrement dit de décision incidente. Or selon l'art. 74 al. 3 et 4 LPA-VD, les décisions incidentes, hormis celles sur la compétence et la récusation, ne sont susceptibles de recours que si - notamment - elles peuvent causer un préjudice irréparable. Il n'en découle toutefois pas que les recours contre les zones réservées seraient irrecevables. En effet, en dépit de sa nature temporaire destinée à préserver une planification future, l'institution d'une zone réservée, à l'issue d'une procédure indépendante de planification, constitue une décision finale et ne peut être assimilée à une mesure provisionnelle du point de vue de la recevabilité du recours. La jurisprudence fédérale y voit un processus de planification ordinaire et considère qu'il s'agit d'une décision finale (ATF 1C_545/2018 du 19 novembre 2019, consid. 1; 1C_149/2018 du 13 septembre 2018, consid. 1.1 ). En tant que décisions finales, les décisions attaquées sont susceptibles de recours conformément à l'art. 74 al. 1 LPA-VD.</w:t>
      </w:r>
    </w:p>
    <w:p>
      <w:r>
        <w:rPr>
          <w:b/>
        </w:rPr>
        <w:t>E. 2</w:t>
      </w:r>
    </w:p>
    <w:p>
      <w:r>
        <w:t>Le recours de D.________ tend à la modification des considérants des décisions cantonales attaquées. Cette conclusion est irrecevable. En effet, seul le dispositif d'une décision peut faire l'objet d'un recours ( 1C_125/2018 du 8 mai 2019, consid. 3.1 non publié aux ATF 145 II 218).</w:t>
      </w:r>
    </w:p>
    <w:p>
      <w:r>
        <w:rPr>
          <w:b/>
        </w:rPr>
        <w:t>E. 3</w:t>
      </w:r>
    </w:p>
    <w:p>
      <w:r>
        <w:t>Les zones réservées sont régies par les dispositions suivantes: L'art. 27 de la loi fédérale du 22 juin 1919 sur l'aménagement du territoire (LAT; RS 700), intitulé "Zones réservées", prévoit ce qui suit: " 1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2 Une zone réservée ne peut être prévue que pour cinq ans au plus; le droit cantonal peut prolonger ce délai." Dans sa nouvelle teneur au 1er septembre 2018, applicable au moment où les décisions attaquées ont été rendues (les 18 octobre 2018, 18 et 25 janvier 2019), l'art. 46 LATC, intitulé également "Zones réservées", est libellé ainsi: " 1 Les communes où le département peuvent établir des zones réservées selon l'art. 27 LAT. Ces zones interdisent ou limitent la constructibilité de terrains pendant une période maximale de cinq ans pouvant être prolongée de trois ans au maximum. 2 La procédure d'approbation est celle des plans d'affectation." a) Les zones réservées ont pour but de garantir (provisoirement) la planification (telle qu'elle a été envisagée). Il s'agit en particulier de garantir aux autorités chargées de l'aménagement du territoire la liberté de planifier et de décider, et d'éviter que des projets de constructions viennent entraver cette liberté (Alexander Ruch, Commentaire pratique LAT: Planifier l'affectation, Bâle 2016, art. 27 N.26). Par l'adoption d'une zone réservée, de futures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(1C_156/2019 du 26 novembre 2019, consid. 2.2 citant ATF 136 I 142 consid. 3.2 p. 145; 1C_441/2019 du 7 janvier 2020, consid. 4.3.1, et les références citées; 1C_149/2018 du 13 septembre 2018 consid. 2.2; 1C_39/2017 du 13 novembre 2017, consid 4.5;). La jurisprudence fédérale (1C_260/2019 du 18 octobre 2019, consid. 3.1.3) rappelle que selon le message du Conseil fédéral concernant la LAT, à l'intérieur de ces zones, il est interdit de prendre toute disposition propre à entraver l'établissement des plans d'affectation. Cas échéant, les mesures à prendre au sein des zones réservées doivent respecter le principe de la proportionnalité. Elles ne pourront interdire les aménagements et les constructions que s'ils compromettent le cours normal de l'élaboration des plans d'affectation (Message du 27 février 1978, FF 1978 p. 1007 ss, ad art. 26 LAT). L'absence de menace pour le futur plan d'aménagement doit être appréciée restrictivement. Tout ce qui pourrait faire obstacle à la planification doit être écarté, tout précédent négatif est à éviter (ég. ATF 113 Ia 362 consid. 2a/bb p. 365). L'adoption d'une zone réservée constitue dans le même temps une restriction de droit public à la propriété. Elle n'est compatible avec l'art. 26 Cst. que si, conformément à l'art. 36 Cst., elle est fondée sur une base légale, justifiée par un intérêt public et respecte le principe de la proportionnalité (ATF 113 Ia 362 consid. 2 p. 364; arrêts 1C_149/2018 précité consid. 2.2; 1C_141/2014 précité consid. 5.1). Selon la jurisprudence, l'art. 27 LAT constitue une base légale suffisante et ne nécessite pas de dispositions cantonales d'exécution. L'intérêt public attaché à la création d'une zone réservée implique quant à lui une sérieuse volonté d'aménager et présuppose l'admissibilité du projet d'aménagement futur. Le principe de la proportionnalité exige quant à lui que la zone réservée ne soit pas plus vaste et ne dure pas plus longtemps que ne le requiert le but poursuivi (ATF 113 Ia 362 consid. 2a-c p. 365-367; arrêt 1P.365/2006 du 5 octobre 2006 consid. 3.1; également ATF 118 Ia 510 consid. 4d p. 513). b) Selon la jurisprudence du Tribunal fédéral, l'instauration d'une zone de planification ("Planungszone" ou zone réservée dans le texte français de l'art. 27 LAT)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cet arrêt rappelé par la Cour constitutionnelle dans l'arrêt CCST.2014.0001 du 3 juillet 2014 est régulièrement cité par la cour de céans: AC.2017.0364 du 25 septembre 2019; AC.2018.0195 du 9 septembre 2019; AC.2017.0386 du 27 septembre 2018, AC.2017.0078 du 28 février 2018, AC.2016.0420 du 6 juin 2017, AC.2013.421 du 26 avril 2016). L'instauration d'une zone réservée présuppose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(telle que l'obligation de réduire les zones à bâtir surdimensionnées prévue à l'art. 15 al. 2), ou du plan directeur cantonal (1C_545/2018 du 19 novembre 2019, consid. 4.2). En général, une zone réservée satisfait à l'exigence d'aptitude découlant du principe de la proportionnalité puisqu'il s'agit de préserver la liberté de planification de l'autorité compétente. La règle de la nécessité est également respectée lorsque la zone réservée correspond au périmètre concerné par l'obligation de planifier (1C_545/2018 du 19 novembre 2019, consid. 4.3).</w:t>
      </w:r>
    </w:p>
    <w:p>
      <w:r>
        <w:rPr>
          <w:b/>
        </w:rPr>
        <w:t>E. 4</w:t>
      </w:r>
    </w:p>
    <w:p>
      <w:r>
        <w:t>a) Dans sa teneur en vigueur jusqu'au 30 avril 2014, l'art. 15 LAT prévoyait que les zones à bâtir comprennent les terrains propres à la construction qui sont déjà largement bâtis ou seront probablement nécessaires à la construction dans les quinze ans à venir et seront équipés dans ce laps de temps. Selon la jurisprudence prévalant déjà sous l'ancien art. 15 LAT, les zones à bâtir surdimensionnées étaient contraires à la LAT et devaient être réduites (ATF 140 II 25 consid. 4.3; ATF 136 II 204 consid. 7). Le nouvel art. 15 LAT, entré en vigueur le 1er mai 2014 après que la novelle du 15 juin 2012 avait été acceptée en votation populaire le 3 mars 2013, prévoit notamment ce qui suit: 1 Les zones à bâtir sont définies de telle manière qu'elles répondent aux besoins prévisibles pour les quinze années suivantes. 2 Les zones à bâtir surdimensionnées doivent être réduites. 3 L'emplacement et la dimension des zones à bâtir doivent être coordonnés par-delà les frontières communales en respectant les buts et les principes de l'aménagement du territoire. En particulier, il faut maintenir les surfaces d'assolement et préserver la nature et le paysage. (...) Comme l'exposait le Conseiller aux Etats Cramer, les zones à bâtir surdimensionnées sont néfastes: elles le sont d'abord parce qu'elles entraînent un gaspillage du sol; elles le sont ensuite parce qu'elles entraînent des atteintes au paysage; elles le sont enfin parce que cette mauvaise organisation du territoire est coûteuse - notamment s'agissant des équipements et des infrastructures (BOCE, 27 septembre 2010, p. 881). Pour soutenir l'adoption de l'art. 15 al. 2 LAT (dont l'introduction remonte à un amendement du Conseil des Etats) a été évoqué au Conseil National le fait que l'excès de zone à bâtir aboutit à un gaspillage du sol: du fait d'une offre abondante, on disperse les constructions au lieu de bâtir de manière compacte (intervention Teuscher, BOCN, 29 septembre 2011, p. 1790). b) L'arrêt AC.2018.0201 du 28 juin 2019 consid. 2cbb rappelle que quelle que soit sa version, le PDCn a constaté en substance que la capacité d'accueil d'habitants et d'emplois des zones à bâtir actuellement légalisées dans le canton est bien plus importante que ce qui est nécessaire pour les besoins prévisibles à quinze ans, horizon temporel déterminé par l'art. 15 LAT. Il a ainsi enjoint les communes à définir leur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(PDCn4, ligne d'action A1; voir aussi mesure A11). Les communes appelées à redimensionner leurs zones à bâtir doivent réviser leurs plans d'affectation et soumettre leur projet à l'approbation du canton au plus tard cinq ans après l'adoption du PDCn par le Grand Conseil (à savoir juin 2022). La mesure A11 du PDCn préconise que la révision des PGA prenne en compte au moins les aspects suivants: "- la qualité de la desserte en transports publics; - l'accès en mobilité douce aux services et équipements; - la qualité des sols et les ressources, dont les surfaces d'assolement; - l'environnement, notamment la nature, le paysage, et la maîtrise d'éventuels risques et nuisances; - la capacité des équipements et des infrastructures; - la possibilité d'équiper à un coût proportionné; - la disponibilité des terrains. Pour répondre aux besoins à 15 ans, les communes, dans l'ordre: 1. réaffectent les terrains excédant les besoins ou peu adéquats au développement; 2. densifient le territoire urbanisé; 3. mettent en valeur les réserves et les friches, notamment par la densification." c) L'autorité intimée a déjà eu l'occasion (AC.2019.0182 du 5 novembre 2019, consid. 4) de rappeler sa pratique en matière d'opposition au permis de construire et d'instauration d'une zone réservée. Cette pratique dépend de la réponse à quatre questions qui sont celles de savoir si la commune est surdimensionnée, si la construction est destinée à l'habitation, si elle est située hors des périmètres de centre définis par le PDCn et si elle est située hors du territoire urbanisé (voir dans le même sens la réponse du Conseil d'Etat à l'interpellation Jean-François Thuillard relative aux oppositions déposées par le SDT, dans le cadre de l'Exposé des motifs du Conseil d'État sur la 4e adaptation du Plan directeur cantonal (ci-dessous: EMPD PDCn4): Bulletin du Grand Conseil [BGC] Législature 2007-2012, Tome 23 Conseil d'Etat, p. 421). d) Au fil des arrêts rendus en matière de zones réservées, le Tribunal fédéral a été amené à considérer qu'en cas de surdimensionnement de la zone à bâtir, la zone réservée ne doit pas s'étendre à tout le territoire communal mais doit inclure seulement les secteurs qui entrent en considération pour une réduction de la zone à bâtir (1C_511/2018 du 3 septembre 2019, destiné à la publication, consid. 5.4 et les références citées). Inversement, pour confirmer une zone réservée communale à Founex qui s'étendait à l'ensemble des surfaces constructibles à faible densité, le Tribunal fédéral a retenu que cela permettait d'assurer une liberté d'action suffisante de la commune dans le cadre de la révision de son plan d'affectation à l'échelle de tout le territoire communal et que dans ce cadre, le principe d'égalité de traitement empêchait que certaines parcelles soient exclues du périmètre visé, à moins qu'il apparaisse d'emblée qu'elles ne pourront pas être concernées par le remaniement de la zone à bâtir (1C_16/2019 du 18 octobre 2019, consid. 4.4). Pour confirmer un permis de construire accordé malgré une zone réservée en cours d'adoption, le Tribunal fédéral a considéré qu'il n'apparaissait pas critiquable d'avoir jugé que la construction litigieuse répondait aux objectifs de densification poursuivie par la LAT: le planificateur local souhaitait soustraire le fonds litigieux au régime de la zone réservée; selon la jurisprudence, une telle disposition n'est pas nécessairement contraire à l'art. 27 LAT (1C_156/2019 du 26 novembre 2019, consid. 2.4.4). Dans un arrêt récent, la cour de céans s'en est tenue finalement à la jurisprudence du Tribunal fédéral (ATF 113 Ia 362, consid. 2 a bb, p. 366) selon laquelle une zone réservée peut trouver son fondement dans le fait que le propriétaire entend construire à un endroit qui entre sérieusement en considération pour une réduction de la zone à bâtir (AC.2019.0182 du 5 novembre 2019, consid. 4 in fine; cet arrêt confirme une zone réservée cantonale instaurée sur une parcelle excentrée en raison d'un projet de construction, non touché par la zone réservée communale, dont la réalisation se présenterait comme une avancée des constructions sur un secteur de terres cultivées préservées à proximité d'un coteau viticole). Dans un autre arrêt, le tribunal de céans a considéré que la question à laquelle il doit répondre au stade du litige relatif à la zone réservée est celle de savoir si la possibilité d'un déclassement des parcelles en cause peut raisonnablement être prise en considération dans le cadre de la future révision du plan général d'affectation (AC.2017.0457 du 7 janvier 2019, consid. 2b).</w:t>
      </w:r>
    </w:p>
    <w:p>
      <w:r>
        <w:rPr>
          <w:b/>
        </w:rPr>
        <w:t>E. 5</w:t>
      </w:r>
    </w:p>
    <w:p>
      <w:r>
        <w:t>L'instruction de la présente procédure a fait apparaître que des plans de quartier sur le territoire d'Epalinges ont été approuvés par le département intimé dans un passé assez récent. Il s'agit en particulier du plan de quartier "La Possession/Bois De Ban" qui se trouve en dehors du périmètre compact, dont l'approbation par le département date du 20 mars 2017 et la confirmation par l'arrêt AC.2017.0172 du 20 mars 2019. Le SDT a expliqué à l'audience de la présente cause qu'il avait avalisé ce plan malgré sa situation en dehors du périmètre compact parce qu'il avait été mis à l'enquête avant l'entrée en vigueur de la modification de la LAT le 1 er mai 2014, que la procédure était trop avancée pour revenir en arrière et qu'il était proche de la zone village et des transports publics, avec une nouvelle ligne de bus. Les recourants ne contestent pas ces explications. Ils n'en tirent pas d'arguments en faveur de leurs conclusions.</w:t>
      </w:r>
    </w:p>
    <w:p>
      <w:r>
        <w:rPr>
          <w:b/>
        </w:rPr>
        <w:t>E. 6</w:t>
      </w:r>
    </w:p>
    <w:p>
      <w:r>
        <w:t>C'est en vain que les recourants A-B-C invoquent l'art. 133 LATC pour soutenir que l'autorité cantonale intimée ne pourrait invoquer l'art. 134 LATC que si la question de la non-conformité du plan en vigueur avait déjà été tranchée conformément à la procédure imposée par le droit transitoire de l'art. 133 LATC. Cette dernière disposition prévoit que dès l'entrée en vigueur de la LATC, le Conseil d'Etat établit la liste des communes dont les plans et les règlements d'affectation en vigueur sont conformes aux dispositions de ladite loi et qu'il impartit aux autres communes un délai pour adopter un plan répondant aux exigences légales. La Cour de céans a déjà jugé que la procédure instaurée par les art. 133 et 134 LATC s'appliquait "dès l'entrée en vigueur de la LATC" et ne s'applique plus au-delà de la période (jusqu'au 31 décembre 1987) durant laquelle des plans d'affectation conformes à la LAT devaient être établis (AC.2018.0208 du 18 janvier 2019, consid. 8). Au reste, le Tribunal fédéral a déjà jugé que l'art. 27 LAT constitue une base légale fédérale qui permet, à elle seule et indépendamment du droit cantonal, d'instaurer une zone réservée (1C_551/2018 du 19 novembre 2019, consid. 2.2).</w:t>
      </w:r>
    </w:p>
    <w:p>
      <w:r>
        <w:rPr>
          <w:b/>
        </w:rPr>
        <w:t>E. 7</w:t>
      </w:r>
    </w:p>
    <w:p>
      <w:r>
        <w:t>Pour ce qui concerne les parcelles des recourants A-B-C , l'inspection locale a permis au tribunal de constater qu'elles forment un ensemble non construit étagé dans la pente irrégulière qui s'étend entre le chemin de Ballègue et le golf de Lausanne. Elles sont desservies par le chemin du Petit-Cerisier qui s'embranche à mi-longueur du chemin de Ballègue. Le long de ce tronçon du chemin de Ballègue, depuis le chemin du Ruisseau-Martin, de nombreuses parcelles ne sont pas construites, notamment dans l'angle avec le chemin de Praz-Buchilly où se trouvent de vastes parcelles encore cultivées colloquées en zone de plan spécial, ainsi qu'à proximité du tronçon du chemin de Ballègue bordé par la forêt. Les constructions existantes (notamment sur la parcelle 1541 d'un des recourants) se trouvent pour la plupart en haut de la pente en bordure du golf. Tel est le cas aussi de la parcelle voisine au nord, bâtie d'une seule maison de maître en bordure du golf et largement vierge de construction pour le surplus. Même si l'autre côté du chemin de Ballègue à l'ouest et au nord est largement bâti, les parcelles des recourants, compte tenu de leurs dimensions (12'540 m² au total) et des parcelles non bâties qui les entourent, ne peuvent pas être considérées comme intégrées au territoire bâti. Elles sont par ailleurs à plusieurs centaines de mètres de l'arrêt de bus régulier (ligne 46 des TL) le plus proche (arrêt Ballègue situé au chemin de la Laiterie), étant précisé qu'un service Taxibus, soit une service surtaxé et sur demande, se trouve à 200 m du chemin du Petit-Cerisier. Enfin, les parcelles litigieuses sont éloignées du périmètre de centre, que ce soit dans son périmètre adopté en 2012 ou même dans le périmètre élargi proposé par le SDT en 2011. Tout bien considéré, les parcelles des recourants A-B-C ne peuvent pas être considérées comme n'entrant d'emblée pas en considération pour une éventuelle réduction de la zone à bâtir. L'instauration d'une zone réservée cantonale sur ces parcelles peut être confirmée.</w:t>
      </w:r>
    </w:p>
    <w:p>
      <w:r>
        <w:rPr>
          <w:b/>
        </w:rPr>
        <w:t>E. 8</w:t>
      </w:r>
    </w:p>
    <w:p>
      <w:r>
        <w:t>La parcelle 766 de la recourante E.________ est entourée de parcelles bâties de villas sur trois côtés. Quoi qu'en dise le SDT, son rapport avec la zone agricole située plus à l'ouest au nord du chemin du Bornalet, ou avec le secteur non bâti dans l'angle des chemins de Ballègue et de Praz-Buchilly, est assez ténu car deux ou trois rangées de villas la séparent de ces secteurs. La parcelle 766 est bordée au sud par le chemin du Bornalet et à l'ouest par le chemin de la Laiterie, où se trouve l'arrêt "Ballègue" de la ligne de bus 46. L'éventualité d'un dézonage de cette parcelle ne s'impose pas d'emblée, si ce n'est qu'elle ne se trouve pas dans le périmètre de centre, même dans la teneur que le SDT en avait proposée en 2011, qui s'arrêtait au bord de la parcelle 766 à l'ouest du chemin de la Laiterie. Il faut toutefois prendre en considération, en face de la parcelle 766 de l'autre côté du chemin de la Laiterie, la présence de la parcelle 779 qui est intégrée dans la zone réservée communale. Le SDT relève à juste titre que la parcelle 766 forme avec la parcelle 779 un ensemble de plus d'un hectare, vierge de construction. Il faut rappeler à cet égard que la jurisprudence relative à la notion de "terrains déjà largement bâtis" de l'ancien art. 15 let. a LAT distinguait entre les "brèches ou espace vides dans le tissu bâti" et les "surfaces non bâties plus étendues à l'intérieur du milieu bâti" qui n'appartiennent pas au territoire déjà largement bâti. Cette jurisprudence avait déterminé qu'une surface non construite peut en principe être considérée comme une brèche dans le milieu bâti jusqu'à 1 hectare et qu'au-delà, la conclusion inverse s'imposait (1C_361/2011 du 28 juin 2012, consid. 5.2). A cet égard, même si l'autorité communale n'a évoqué aucune réaffectation éventuelle de cet ensemble d'un hectare, la possibilité d'un déclassement des parcelles en cause peut raisonnablement être prise en considération. L'instauration d'une zone réservée cantonale sur la parcelle 766 et l'intégration de la parcelle 779 dans la zone réservée communale ont finalement pour effet de mettre ces deux parcelles sur pied d'égalité, ce qui paraît cohérent. La zone réservée cantonale sur la parcelle 766 peut être confirmée.</w:t>
      </w:r>
    </w:p>
    <w:p>
      <w:r>
        <w:rPr>
          <w:b/>
        </w:rPr>
        <w:t>E. 9</w:t>
      </w:r>
    </w:p>
    <w:p>
      <w:r>
        <w:t>La situation est plus délicate pour la parcelle 1080 du recourant D.________. Cette parcelle de 2289 m² fait partie du quartier de villas desservi par le chemin de Montéclard, qui débouche sur le chemin du Polny où une nouvelle ligne de bus est attendue. Ce quartier était inclus dans le périmètre compact d'agglomération proposé par le SDT en 2011. La parcelle 1080 est entourée sur trois côtés par des parcelles bâties de villas. Sur le quatrième côté au sud-ouest, l'inspection locale a montré qu'en raison de la pente et des arbres, on distingue difficilement les parcelles qui la jouxtent à l'aval et qui ne sont accessibles que d'en dessous par le chemin de Florimont. L'une de ces parcelles est d'ailleurs bâtie également. a) A première vue, en regard du but poursuivi par le législateur en matière de réduction de la zone à bâtir, on distingue mal en quoi l'interdiction de construire sur la parcelle 1080 permettrait de préserver le paysage d'une atteinte. Le maintien d'une parcelle vide au sein d'un quartier de villas existant pourrait même être considéré comme une forme du gaspillage évoqué lors de l'adoption de l'art. 15 al. 2 LAT qui impose la réduction des zones à bâtir surdimensionnées. (v. ci-dessus). b) Dans sa décision du 25 janvier 2019 approuvant la zone réservée cantonale sur la parcelle 1080, le département intimé rappelle comme dans ses autres décisions ce qui suit : "C.          Selon la mesure A11 du plan directeur cantonal (PDCn), adopté par le Grand Conseil le 20 juin 2017 et approuvé par le Conseil fédéral le 31 janvier 2018, les possibilités de développement hors centre accordées entre 2015 et 2036 s'élèvent à 352 habitants (2235 habitants en 2015 x 0.75% x 21 années) pour la commune d'Epalinges. Cela étant, le potentiel d'accueil communal est actuellement de 2678 habitants. En comparant la capacité d'accueil hors centre au moment du bilan (352 habitants) et le potentiel de croissance de la Commune hors centre (2678 habitants), celle-ci a une surcapacité d'accueil de 2384 habitants. Par conséquent, la zone à bâtir de la commune d'Epalinges est manifestement surdimensionnée." Dans sa réponse au recours du 4 avril 2019, le SDT expose ce qui suit : "1.          La commune d'Epalinges dispose de zones d'habitation et mixtes très largement surdimensionnées. Elle ne dispose que de très peu de parcelles non bâties, situées dans la continuité de la zone agricole. Au nord, la limite avec Le Mont-sur-Lausanne est matérialisée par une aire forestière. Au nord-est, se trouve le golf (zone d'installations para-publiques). Au sud, il y a la commune de Lausanne et le quartier de Vennes, largement urbanisé. Le redimensionnement de la zone constructible ne pourra dès lors pas se limiter aux franges. Cela implique nécessairement que des mesures soient prises également pour des fonds situés plus près du milieu bâti. Pour ce motif, la présence de parcelles non bâties et la proximité de la zone agricole ou de l'aire forestière joue un rôle déterminant dans la délimitation du territoire urbanisé. [...] L'aire forestière se trouve à 30 m au nord et à 40 m au sud-est de la parcelle n° 1080. La présence d'une aire forestière à une distance aussi proche démontre bien que le secteur n'est pas dévolu exclusivement à l'habitation mais que des activités agricoles ou forestières s'y déroulent déjà actuellement. La décision relève aussi que les parcelles n os 385, 389, 390, 2792 et 2798 jouxtent la parcelle n° 1080 au sud-ouest. Certes, elles n'ont pas toutes une limite commune avec les zones réservées litigieuses, mais elles forment un bloc compact sans aucune construction et dont la réaffectation paraît évidente. C'est avant tout sa proximité immédiate avec les parcelles litigieuses qui a été mise en évidence par le DTE. C'est sur ces parcelles qu'on trouve la surface libre de construction de 30'000 m 2 . Le fonds n° 389, qui a à lui seul une surface totale de 32'926 m2 et qui ne comprend qu'une seule construction, se trouve à 30 m de la parcelle n° 1080 et jouxte directement la parcelle n° 1562 au sud. Quant au fonds n° 1562, il comprend déjà une surface de 8'585 m2 en aire forestière soit 77% de sa surface totale. Sous la planification actuelle, l'habitation n'est déjà pas la destination principale de cette parcelle, la partie constructible représentant moins d'un quart de sa surface." b) Le tribunal a pu constater en inspection locale que l'appréciation du SDT relative à la parcelle 1562 ne prête pas le flanc à la critique. La zone réservée cantonale qui la concerne peut-être confirmée. c) Pour ce qui concerne la parcelle 1080, l'inspection locale a montré  qu'elle fait géographiquement partie du quartier de villas de Montéclard et il  peut paraître contestable de lier son sort au secteur encore cultivé à l'aval du chemin de Florimont ou à l'aire forestière qui occupe une partie de la pente entre le chemin de Florimont et le quartier de villas de Montéclard. D'après les explications du SDT, l'absence de parcelles non bâties jouxtant la zone agricole conduit à envisager de dézoner des parcelles vierges situées à l'intérieur du milieu bâti, apparemment pour les maintenir vides dans le but de supprimer les habitants supplémentaires qu'un logement sur ces parcelles pourrait amener dans la commune. On peut se demander si cet objectif n'entre pas en contradiction avec ceux de la LAT révisée: comme le rappelle un arrêt récent (1C_429/2018 du 30 septembre 2019, consid. 4.1), la LAT préconise un développement de l'urbanisation vers l'intérieur du milieu bâti (art. 1 al. 2 let. a bis LAT), la création d'un milieu bâti compact (art. 1 al. 2 let. b LAT) et une densification des surfaces de l'habitat (art. 3 al. 3 let. a bis LAT). C'est le lieu de rappeler (v. ég. AC.2019.0109 du 19 février 2019) que la méthode consistant à fixer des plafonds de population instaurée par le Plan directeur cantonal est l'un des points sur lesquels l'autorité fédérale, lors de l'approbation de ce plan directeur, a formulé une réserve. En effet, l'OFDT-ARE juge que cette méthode empêche la densification des zones déjà bâties. On lit ceci dans le rapport d'examen établi par l'OFDT le 16 janvier 2018 au sujet de la quatrième adaptation du Plan directeur cantonal (p. 24 du document disponible à l'adresse https://www.are.admin.ch/are/fr/home/developpement-et-amenagement-du-territoire/strategie-et-planification/plans-directeurs-cantonaux/planification-directrice-du-canton-de-vaud.html): "Lors de l'examen préalable, la Confédération avait requis du canton qu'il s'exprime sur les incitations négatives à la densification liées à sa méthodologie de dimensionnement des zones à bâtir, fondée sur des plafonds de population à un horizon donné par type d'espace ou de centre cantonal. Force est de constater que le PDCn Vaud, dans sa version soumise à examen, ne semble pas contenir de mécanisme permettant l'optimisation des projets de développement, en particulier dans les zones à bâtir existantes, sans qu'il n'en résulte des inconvénients majeurs pour l'autorité de planification, en principe communale. Le principe de développement de l'urbanisation vers l'intérieur, au coeur de la révision de la LAT, s'en trouve ainsi affaibli." La réserve correspondante est formulée dans la décision d'approbation du Conseil fédéral sous ch. 9 let. h qui invite le canton de Vaud, lors de la prochaine adaptation du plan directeur, à: "h). introduire des correctifs aux incitations négatives au développement vers l’intérieur, en particulier pour les projets d’agglomération." c) Le tribunal renoncera toutefois à examiner plus avant la question posée ci-dessus. Cette retenue s'impose, au stade provisoire de la zone réservée, en l'espèce où la délimitation du périmètre de centre, apparemment déterminante pour le sort de certaines parcelles, a fait l'objet d'appréciations divergentes de l'autorité cantonale et de l'autorité communale. On rappellera à cet égard que la délimitation du périmètre de centre doit pouvoir faire l'objet d'un contrôle judiciaire, à l'instar par exemple des inventaires fédéraux des sites marécageux et des marais, qui ne sont fondés que sur des ordonnances du Conseil fédéral (AC.2019.0182 du 5 novembre 2019, consid. 4a). En outre, s'il n'est certes pas possible de recourir directement contre le plan directeur cantonal, le justiciable peut en revanche, lorsqu'il conteste un plan d'affectation, critiquer la planification directrice qu'elle applique (ATF 1C_16/2019 du 18 octobre 2019, consid. 2.1). Il n'y a pas lieu de préjuger ici des litiges qui pourraient survenir à ce sujet. Le tribunal juge finalement qu'il convient d'envisager la situation dans son ensemble. Il constate à cet égard que les trois recours interjetés contre l'instauration de zones réservées cantonales sur le territoire communal ont leur origine dans l'appréciation apparemment divergente de l'autorité communale et de l'autorité cantonale quant à l'opportunité d'exempter de la zone réservée communale les parcelles sur lesquelles un projet de construction avait été mis à l'enquête avant l'enquête sur la zone réservée (cette exemption était possible selon l'art. 3 du règlement de la zone réservée communale dont le SDT avait demandé la suppression). En définitive, l'intervention de l'autorité cantonale, par la voie de l'opposition au permis de construire puis de la zone réservée cantonale, vise finalement à empêcher cette exemption. Or il faut garder à l'esprit que les nouvelles dispositions de la LAT sont entrées en vigueur le 1er mai 2014, que le SDT n’a entrepris qu’en janvier 2016 de surveiller les demandes de permis de construire dans les zones constructibles excédentaires et mal situées et que les zones réservées cantonales litigieuses font suite à des projets de construction mis à l'enquête entre décembre 2017 et mars 2018. En tant qu'elles empêchent les parcelles concernées de bénéficier, plus de trois ans après la modification de la LAT, d'une exemption des effets de la zone réservée, les décisions du département intimé se révèlent cohérentes. Il convient en conséquence de confirmer aussi l'appréciation de l'autorité intimée relative à la parcelle 1080.</w:t>
      </w:r>
    </w:p>
    <w:p>
      <w:r>
        <w:rPr>
          <w:b/>
        </w:rPr>
        <w:t>E. 10</w:t>
      </w:r>
    </w:p>
    <w:p>
      <w:r>
        <w:t>Il résulte des considérants qui précèdent que le dossier permet aux tribunal de statuer sans qu'il soit nécessaire de donner suite aux réquisitions de production de pièces de certains des recourants.</w:t>
      </w:r>
    </w:p>
    <w:p>
      <w:r>
        <w:rPr>
          <w:b/>
        </w:rPr>
        <w:t>E. 11</w:t>
      </w:r>
    </w:p>
    <w:p>
      <w:r>
        <w:t>Vu ce qui précède, les trois recours sont rejetés et les décisions correspondantes sont confirmées. Un émolument sera à la charge de chacun des recourants ou groupe de recourants,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