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AC.2018.0404 vom 11. Dezember 2019</w:t>
      </w:r>
    </w:p>
    <w:p>
      <w:r>
        <w:t>VD Tribunal cantonal, 2019-12-11, FR</w:t>
      </w:r>
    </w:p>
    <w:p>
      <w:r>
        <w:rPr>
          <w:b/>
        </w:rPr>
        <w:t xml:space="preserve">Quelle: </w:t>
      </w:r>
      <w:r>
        <w:t>https://mcp.opencaselaw.ch/entscheid/vd_omni_AC.2018.0404</w:t>
      </w:r>
    </w:p>
    <w:p>
      <w:r>
        <w:t>FR: VD_OMNI AC.2018.0404 du 11 décembre 2019</w:t>
      </w:r>
    </w:p>
    <w:p>
      <w:r>
        <w:t>IT: VD_OMNI AC.2018.0404 del 11 dicembre 2019</w:t>
      </w:r>
    </w:p>
    <w:p>
      <w:pPr>
        <w:pStyle w:val="Heading2"/>
      </w:pPr>
      <w:r>
        <w:t>Regeste</w:t>
      </w:r>
    </w:p>
    <w:p>
      <w:r>
        <w:t>A.________ /Municipalité d'Aigle, B.________, Direction générale des immeubles et du patrimoine, C.________ à H.________ | Recours d'un voisin contre la construction de quatre immeubles d'habitation sur quatre parcelles voisines. Le projet initialement mis à l'enquête comportait cinq immeubles à construire sur cinq parcelles voisines. Le cinquième bâtiment a cependant été abandonné en raison de l'opposition d'une entreprise de chemins de fer dont une ligne se trouve à proximité. La mention figurant au Registre foncier, qui imposait la mise à l'enquête simultanée de l'ensemble des cinq bâtiments, a été respectée même si l'autorisation finalement délivrée ne concerne que quatre bâtiments (consid. 2). Le nombre de places de stationnement (108) est conforme à la norme VSS, même si quatre d'entre étaient vendues à d'autres voisins (consid. 3). La limite fictive mentionnée au Registre foncier corrige l'atteinte que porterait le projet à la règlementation sur les distances aux limites. Le fait qu'elle passe sur un transformateur électrique n'est pas problématique dès lors qu'il est admissible dans les espaces réglementaires (consid. 4). Les distances au domaine public et le plan d'alignement applicables sont par ailleurs respectés (consid. 5). La municipalité n'a pas abusé de son pouvoir d'appréciation en considérant que la clause d'esthétique ne s'opposait pas à la délivrance du permis, malgré la présence de bâtiments recensés aux alentours et l'inclusion des parcelles à construire dans un périmètre de l'ISOS (consid. 6). Bien que la réglementation soit ancienne, les conditions d'un contrôle incident de la planification ne sont pas remplies (consid. 7) et la municipalité n'avait pas à refuser l'autorisation au motif que le projet compromettrait la planification future (consid. 8). En raison de l'abandon du cinquième bâtiment projeté, l'opposition de l'entreprise ferroviaire n'interdisait pas la délivrance du permis (consid. 9).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applicables par renvoi de l'art. 99 LPA-VD.</w:t>
      </w:r>
    </w:p>
    <w:p>
      <w:r>
        <w:rPr>
          <w:b/>
        </w:rPr>
        <w:t>E. 2</w:t>
      </w:r>
    </w:p>
    <w:p>
      <w:r>
        <w:t>a) Dans un premier grief, le recourant soutient que le permis de construire devrait être annulé au motif que la mention du Registre foncier selon laquelle " l'ensemble des 5 bâtiments devra [it] faire l'objet de mises à l'enquête simultanées " n'aurait pas été respectée. b) Contrairement à ce que suggère le précité, les cinq bâtiments projetés sur les parcelles concernées ont bien été mis à l'enquête simultanément ( cf . CAMAC 165930), ce qui ressort clairement du formulaire de demande de permis de construire, mais également du plan de situation fourni dans ce cadre. En revanche, l'autorisation de construire n'a été délivrée que pour la construction de quatre bâtiments (A à D), l'édification du cinquième bâtiment (E) ayant été abandonnée suite à l'opposition formée par les TPC sur la base de la LCdF. Le fait que la constructrice et les propriétaires ont été contraints d'abandonner, contre leur gré, le bâtiment E pour des motifs de droit public liés à la LCdF n'y change rien, puisque la mention exigeait que les bâtiments fassent l'objet de mises à l'enquête – et non d'autorisations de construire – simultanées. Il en résulte que la mention litigieuse a été scrupuleusement respectée. c) Le grief tombe par conséquent à faux et doit être rejeté sans qu'il soit nécessaire de déterminer si le recourant était habilité à exiger le respect de la mention litigieuse, ce que conteste l'autorité intimée.</w:t>
      </w:r>
    </w:p>
    <w:p>
      <w:r>
        <w:rPr>
          <w:b/>
        </w:rPr>
        <w:t>E. 3</w:t>
      </w:r>
    </w:p>
    <w:p>
      <w:r>
        <w:t>a) Le recourant critique ensuite le nombre de places de stationnement prévues. En effet, le besoin en stationnement arrêté à 108 cases selon la notice justificative au dossier ne tiendrait pas compte des besoins du bâtiment E à construire ultérieurement sur la parcelle n o 3933. Tel devrait pourtant être le cas eu égard à la mention imposant une mise à l'enquête simultanée des cinq bâtiments à ériger. Quoi qu'il en soit, le nombre de 108 places de stationnement annoncé par la constructrice pour les bâtiments A à D ne serait en tout état de cause pas respecté. Quatre places sur les 108 feraient l'objet d'une promesse de cession à un propriétaire voisin, conformément à l'acte notarié du 28 juin 2016, de sorte que seules 104 places de parc seraient effectivement disponibles pour le projet autorisé. Le recourant ajoute enfin que le projet ne comprendrait pas 10% de places visiteurs, contrairement à ce qu'exigerait la norme VSS SN 640 281 intitulée " Stationnement – Offre en case de stationnement pour les voitures de tourisme " valable à compter du 1 er décembre 2013. b) aa) L'art. 40a du règlement du 19 septembre 1986 d'application de la loi du 4 décembre 1985 sur l'aménagement du territoire et les constructions (RLATC; BLV 700.11.1) dispose que la réglementation communale fixe le nombre de places de stationnement pour les véhicules à moteur et les deux-roues légers non motorisés, dans le respect des normes de l'Association suisse des professionnels de la route et des transports – soit les normes VSS – et en fonction de l'importance et de la destination de la construction (al. 1). A défaut de réglementation communale conforme aux normes en vigueur, les normes VSS sont applicables aux véhicules motorisés et aux deux-roues légers non motorisés (al. 2). Le tribunal de céans a déjà eu l’occasion de juger que le canton ne dispose pas de la compétence légale pour fixer de tels critères par voie réglementaires (arrêts AC.2017.0349 du 29 novembre 2018 consid. 10b et AC.2009.0064 précité consid. 4c/dd). Le tribunal a ainsi été amené à constater que l’art. 40a RLATC ne repose pas sur une base légale ou une délégation législative suffisante (arrêts AC.2017.0349 précité consid. 10b; AC.2016.0402 du 11 octobre 2017 consid. 8 et AC.2009.0064 précité consid. 4). Ainsi, les normes VSS ne peuvent être appliquées que si le règlement communal y renvoie directement (arrêt AC.2014.0157 du 16 avril 2015 consid. 3c et les références). Cela étant, en l'absence d'une disposition spécifique dans le règlement communal, on peut s'inspirer de la méthode de calcul de l'offre en cases de stationnement pour les voitures de tourisme de la norme VSS SN 640 281, en rappelant que les normes VSS ne sont pas des règles de droit et ne lient pas le tribunal, mais sont l’expression de la science et de l’expérience de professionnels éprouvés; elles peuvent donc être prises en considération comme un avis d’expert (arrêts AC.2017.0440 du 7 janvier 2019 consid. 8a; AC.2016.0415 du 29 septembre 2017 consid. 4a/aa et AC.2016.0023 du 21 mars 2017 consid. 4a). Ces normes doivent être appliquées en fonction des circonstances concrètes et en accord avec les principes généraux du droit, dont celui de la proportionnalité (arrêt AC.2017.0440 précité consid. 8a; arrêts TF 1C_157/2008 du 10 juillet 2008 consid. 2.1; TF 1P.124/1977 du 15 novembre 1978 consid. 3b, in ZBl 1979 p. 223). bb) Que ce soit dans sa teneur valable du 1 er décembre 2013 au 30 mars 2019 ou dans sa version applicable dès le 31 mars 2019, la norme VSS SN 640 281 recommande d'offrir une case de stationnement par 100 m 2 de surface brute de plancher de logement ou une case par logement (ch. 9.1). A ces cases de stationnement pour les résidents, il est nécessaire d'ajouter 10% de cases en plus pour les visiteurs, ces chiffres constituant des valeurs indicatives et correspondant en règle générale à l’offre nécessaire, indépendamment du type de localisation (ch. 9.1 intitulé " Cas normal "). Ce n'est qu'à la fin des calculs, après avoir fait tous les totaux, que le nombre total doit être arrondi à l'entier supérieur (ch. 9.3). Le critère (par surface ou par logement) donnant le plus grand nombre de cases est déterminant (arrêts AC.2014.0413 du 10 décembre 2019 consid. 4d ; AC.2017.0060 du 23 mai 2018 consid. 10a et AC.2017.0322 du 1 er mars 2018 consid. 3b/aa). Pour les affectations autres que le logement, l'offre en cases de stationnement à mettre à disposition dépend du genre d'affectation, de ses valeurs caractéristiques et du type de localisation (accessibilité en mobilité douce et en transports publics) ( cf . ch. 10.1). Ainsi, le dimensionnement de l'offre de stationnement pour l'affectation des magasins (autres que les services à nombreuse clientèle) correspond à 1,5 places pour le personnel et 3,5 places pour les visiteurs/clients par 100 m 2 de surface de plancher (SPB). Il est précisé qu'il s'agit là de valeurs spécifiques indicatives. La fourchette entre le nombre minimal et le nombre maximal de cases de stationnement nécessaires est estimée à partir des valeurs indicatives du tableau 1 " valeurs spécifiques indicatives pour l'offre en cases de stationnement " pour l'offre en cases de stationnement (1 ère étape), en tenant compte du type de localisation selon le tableau 2 " distinction des types de localisation " et des pourcentages correspondants du tableau 3 " offre en cases de stationnement en % des valeurs indicatives selon le tableau 1 " (2 ème étape). Pour ce qui est du type de localisation, le ch. 10.2 de la norme effectue une distinction entre cinq types de localisation (A, B, C, D et E), qui est précisée au tableau 2. D'après ce tableau, le type de localisation dépend de la " part de la mobilité douce dans l'ensemble de la génération du trafic de personne " (répartie entre les 3 degrés suivants: " &gt; 50 % ", " 25…50 % " et " &lt; 25 % ") et de la " fréquence des transports publics pondérée selon la desserte des habitants pendant la période d'exploitation déterminante " (à savoir: "≥ 4 fois par heure ", " 1…4 fois par heure " et " pas desservi par les transports publics "). Il est encore précisé que la distance à pied entre les points de départ et l'arrivée et les dessertes des transports publics qui est jugée acceptable dépend du motif de déplacement et qu'elle est comprise entre 300 et 500 m. Pour chaque type de localisation, le tableau 3 distingue le minimum et le maximum de l'offre en cases de stationnement ; aux localisations A, B, et C correspondent en particulier un minimum respectif de 20 %, 40 % et 50% et un maximum respectif de 40 %, 60% et 80%. c) D'emblée, on soulignera que dans la mesure où le permis de construire finalement délivré ne concerne que les bâtiments A à D, et non pas le bâtiment E qui faisait initialement partie du projet mis à l'enquête publique, c'est à bon droit que les besoins en stationnement de ce dernier n'ont pas été pris en considération pour déterminer le nombre de places minimum. Pour le reste, la réglementation communale ne contient aucune disposition consacrée au stationnement de véhicules et ne renvoie pas directement aux normes VSS qui ne lient dès lors pas l'autorité intimée. Aucune partie n'allègue par ailleurs que cette dernière aurait pour pratique d'imposer le respect de ces normes pour le calcul du besoin en stationnement, ce qui ne ressort pas non plus du dossier. Quoi qu'il en soit, en l'absence de disposition communale sur ce point ou de renvoi exprès à la norme VSS SN 640 281 dans la réglementation applicable aux parcelles litigieuses, la constructrice s'est inspirée de ces dernières pour déterminer le nombre de places de stationnement pour les bâtiments A à D. Sur cette base, elle a arrêté à 98 le nombre minimal de cases pour les logements, soit une par logement dès lors que le résultat obtenu avec ce critère était plus élevé que celui obtenu avec le critère de la surface brute de plancher (ch. 9.1 de la norme VSS), ce qui est effectivement le cas et n'est du reste pas contesté. Le nombre de 98 se décompose comme suit: une case pour chacun des 89 logements et 9 cases pour les visiteurs (10% de 89). Le calcul étant rigoureusement conforme à la norme VSS précitée, les critiques du recourant s'avèrent mal fondées. S'agissant des commerces, la constructrice a utilisé les valeurs de références applicables selon la norme VSS précitée, soit 1,5 places pour le personnel et 3,5 places pour la clientèle par tranche de 100 m 2 de surface brute de plancher. Dans le cas particulier, la surface brute de plancher des commerces étant de 203 m 2 , le nombre de cases a été arrêté à 10, soit 3 pour le personnel et 7 pour la clientèle. Au vu de l'excellente desserte en transports publics, d'une fréquence supérieure à 4 par heure dans des arrêts situés à environ 300 m ( cf . lettre D ci-dessus) et même à retenir une part de mobilité douce inférieure ou égale à 25%, le type de localisation C est applicable, c'est-à-dire un minimum de 50% (soit 5 cases) et un maximum de 80% (soit 8 cases) des 10 places précitées destinées aux surfaces commerciales. En d'autres termes, le nombre de place minimum au final serait de 103 cases (98 + 5) et le maximum de 106 cases (98 + 8). Par conséquent, l'offre en cases de stationnement, arrêtée à 108 places dans le calcul justificatif, s'avère à tout le moins suffisant et ne prête pas le flanc à la critique. Il le serait d'ailleurs même si quatre places devaient être cédées aux propriétaires de la parcelle voisine, puisque le nombre total s'élèverait alors à 104 cases, soit une case de plus que le nombre minimum. Mal fondé, le grief doit écarté.</w:t>
      </w:r>
    </w:p>
    <w:p>
      <w:r>
        <w:rPr>
          <w:b/>
        </w:rPr>
        <w:t>E. 4</w:t>
      </w:r>
    </w:p>
    <w:p>
      <w:r>
        <w:t>a) Le recourant considère encore que le futur bâtiment D ne respecterait pas les distances aux limites. La mention qui figure au Registre foncier fixerait artificiellement une limite fictive à partir de laquelle devrait être calculée la distance aux limites d'éventuelles futures constructions à ériger sur la parcelle n o 3933. Cette manière de procéder serait inadmissible puisqu'un report de limite ne pourrait être effectué, en vertu de l'art. 83 de la loi du 4 décembre 1985 sur l'aménagement du territoire et les constructions (LATC; BLV 700.11), que pour autant que la surface concernée soit vierge de toute construction. Tel ne serait pourtant pas le cas puisque la limite fictive passerait précisément sur le transformateur électrique existant (bâtiment ECA B44). Selon le recourant toujours, le transformateur électrique ne respecterait en réalité pas la distance à la limite depuis la division des parcelles intervenues en 2016, de sorte qu'une " mention fictive " aurait dû être inscrite à la charge de la parcelle n o 3937. Pour sa part, l'autorité intimée expose que le transformateur électrique doit être qualifié de dépendance de peu d'importance admissible dans les espaces réglementaires. Partant, il ne serait pas soumis aux distances applicables entre bâtiments et entre bâtiments et limites de propriété. b) Il convient de rappeler que, d'un point de vue procédural, un tiers – soit une personne qui n'est pas propriétaire de l'une des parcelles concernées par le fractionnement – a en principe qualité pour contester une modification de limites assortie d’une restriction du droit de bâtir mentionnée au registre foncier au sens de l’art. 83 LATC, dans le cadre d’une procédure relative à l’octroi d’un permis de construire sur la parcelle concernée (arrêts AC.2013.0493 du 19 mars 2015 consid. 6b/aa; AC.2008.0145 consid. 3d avec référence à Didisheim, op. cit ., p. 412 s. et la jurisprudence citée en note 37; Bovay et al., Droit fédéral et vaudois de la construction, 4 e éd., 2010, n o</w:t>
      </w:r>
    </w:p>
    <w:p>
      <w:r>
        <w:rPr>
          <w:b/>
        </w:rPr>
        <w:t>E. 5</w:t>
      </w:r>
    </w:p>
    <w:p>
      <w:r>
        <w:t>a) Le recourant invoque encore le non-respect de la distance minimale de 10 m des bâtiments A, C et D par rapport au domaine public adjacent. b) En affirmant que la distance aux limites serait également applicable entre fond privé et domaine public, sans du reste motiver cette affirmation, le recourant méconnaît que l a question du champ d'application des règles sur les distances aux limites doit être tranchée au regard du but poursuivi par celles-ci ( cf . sur ce point arrêt AC.2006.0011 du 18 août 2006). Sous cet angle, la situation n'est généralement pas la même entre deux fonds privés qu'entre un tel immeuble et le domaine public. C'est pourquoi la jurisprudence a admis que, sauf dispositions contraires, les règles fixant les distances minimales entre bâtiments et limites de propriété ne s'appliquent qu'aux limites séparant des fonds privés et non pas aux limites entre des fonds privés et le domaine public (arrêt AC.2013.0493 du 19 mars 2015 consid. 9b; RDAF 1970 p. 210). c) L'art. 36 LRou a la teneur suivante: " 1 A défaut de plan fixant la limite des constructions et sous réserve de l'alinéa 4, les distances minima à observer, lors de la construction de tout bâtiment ou annexe de bâtiment, sont les suivantes: a. pour les routes cantonales principales de 1re classe, 18 mètres hors des localités et 15 mètres à l'intérieur des localités; b. pour les routes cantonales principales de 2e classe et secondaires à fort trafic, ainsi que pour les routes communales de 1re classe, 13 mètres hors des localités et 10 mètres à l'intérieur des localités; c. pour les autres routes cantonales secondaires, les routes de berges et les routes communales de 2e classe, 10 mètres hors des localités et 7 mètres à l'intérieur des localités;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3 Aux abords des carrefours, les distances à observer sont déterminées par le département ou par la municipalité selon qu'il s'agit de routes cantonales ou communales. 4 En dérogation à l'article 5 de la présente loi, les catégories de routes mentionnées à l'alinéa premier sont déterminées selon les règles applicables avant l'entrée en vigueur de la loi du 7 février 2012 modifiant la présente loi et mises en œuvre dans le règlement sur la classification des routes cantonales. " Le Plan d'extension fixant la limite des constructions d'alignement et approuvé le 15 août 1973 par le Conseil d'Etat (ci-après: le plan d'alignement) prévoit l'alignement le long des parcelles situées au sud de l'avenue des Ormonts, soit en particulier pour la parcelle n o 137 destinée à accueillir le bâtiment A. En vertu de l'art. 36 al. 1 LRou, c'est par conséquent la limite fixée par le plan d'alignement qui doit être respectée. Quant à l'art. 20 RPE, il dispose notamment que les constructions peuvent être implantées sur l'alignement ou en retrait de celui-ci. d) En l'espèce, l'alignement figure sur le plan de situation du projet dressé par un géomètre officiel. Le bâtiment A étant implanté légèrement en retrait, il est strictement conforme à la réglementation applicable. Quant aux bâtiments C et D projetés sur les parcelles n os 3936 et 3937, ils bordent l'avenue Veillon qui ne fait pas l'objet d'un plan d'alignement. S'agissant d'une route communale de 2 ème classe à l'intérieur d'une localité, la distance des bâtiments doit être de 7 m par rapport à l'axe de la chaussée (art. 36 al. 1 let. c et al. 2). Ici encore, la distance figurant sur le plan de situation du géomètre officiel est scrupuleusement conforme. Mal fondé, le grief est rejeté.</w:t>
      </w:r>
    </w:p>
    <w:p>
      <w:r>
        <w:rPr>
          <w:b/>
        </w:rPr>
        <w:t>E. 5.1</w:t>
      </w:r>
    </w:p>
    <w:p>
      <w:r>
        <w:t>p. 45; 140 II 25 consid. 3 p. 29; 1C_40/2016 du 5 octobre 2016 consid. 3.1; Peter Karlen, Stabilität und Wandel in der Zonenplanung, PBG-aktuell 4/1994 p. 8 ss). Conformément à la jurisprudence, cette seconde étape, à savoir l'examen de la nécessité ou de l'opportunité d'adapter le plan, équivaut à soupeser les divers intérêts en présence (TF 1C_307/2014 du 7 avril 2015 consid. 3.1). c) En l'espèce, la planification est certes ancienne puisqu'elle date de 1961. Cela étant, les parcelles concernées par le projet sont équipées, localisées à proximité du bourg et, surtout, d'ores et déjà bâties. Comme mentionné plus haut, elles sont en outre incluses dans le périmètre de centre et dans le périmètre compact d'agglomération, soit des périmètres destinés à être densifié selon le PDCn. Elles sont enfin largement desservies par les transports en commun. Dans ces circonstances, il n'y a pas lieu de procéder à un contrôle incident de la planification litigieuse. Cette appréciation est du reste confirmée par la zone réservée "Centre-ville" récemment mise à l'enquête publique en vue de la réduction de la zone à bâtir surdimensionnée et qui n'inclut pas les parcelles destinées à accueillir le projet litigieux. Il en résulte que les conditions d'un contrôle incident de la planification ne sont manifestement pas réunies (pour un arrêt concernant la même commune et allant dans le même sens, cf . AC.2017.0440 consid. 11). e) On ajoutera que le recourant ne peut rien tirer du fait que le taux de vacance des logements serait prétendument important dans la commune et qu'il n'y aurait de ce fait pas matière à densifier le secteur. Pour rappel, l e permis de construire, tout au moins s'il s'agit de l'autorisation ordinaire de l'art. 22 al. 2 LAT constitue une autorisation de police à laquelle l'administré a droit pour autant qu'il remplisse les conditions posées par les textes applicables (arrêts AC.2018.0092 et AC.2018.0098 du 29 octobre 2019 consid. 4d; AC.2006.0195 du 26 février 2007 consid. 2b et les arrêts cités). Par conséquent et en l'absence de contrôle incident de la planification pour les motifs déjà exposés, la question du besoin en nouveaux logements est indifférente à l'issue du présent litige qui a uniquement trait au bien-fondé de l'autorisation de construire délivrée sur la base des lois et règlements applicables. Mal fondé, le grief doit être écarté.</w:t>
      </w:r>
    </w:p>
    <w:p>
      <w:r>
        <w:rPr>
          <w:b/>
        </w:rPr>
        <w:t>E. 6</w:t>
      </w:r>
    </w:p>
    <w:p>
      <w:r>
        <w:t>a) Le recourant allègue encore que le projet autorisé enlaidira les environs et portera atteinte à un site répertorié à l'ISOS, ainsi qu'aux divers bâtiments environnants classés monuments historiques. S'il ne conteste pas la régularité du projet s'agissant des hauteurs de bâtiments, le recourant considère néanmoins qu'il induira un " effet de barre " désastreux. Pour le surplus, l'intéressé se réfère au contenu du préavis négatif du SIPAL (actuelle DGIP) dont l'autorité intimée n'aurait pas tenu compte. Dans le cadre de la présente procédure, la DGIP a pour sa part confirmé le contenu de son préavis négatif. Dans ce document, le SIPAL a relevé les qualités patrimoniales des quartiers de villas individuelles construits entre la seconde moitié du XIXe siècle et la première partie du XXe siècle, qui constituent une transition urbaine et paysagère entre les noyaux denses des quartiers (en particulier le bourg) et les parcelles viticoles. Ces quartiers de villas ont été inscrits à l'ISOS dans un but de préservation des caractéristiques du périmètre (faible densité et grands jardins assurant une transition entre le bourg et les vignes), ce que compromettraient les bâtiments A à D projetés sur les parcelles voisines. Au vu de son importance et de sa densité, le projet contredirait en effet le phénomène de transition douce et ne garantirait pas la sauvegarde des caractéristiques essentielles du site. La hauteur des nouveaux bâtiments concurrencerait la perception du quartier du Cloître au sud, et en particulier de la cure et de l'église, qui émergent seules des champs de vignes alentour. Par ailleurs, les maisons recensées et protégées sises entre l'avenue des Ormonts et celle du Cloître, seraient menacées par le projet: les parcelles sur lesquelles se trouvent les bâtiments recensés " verraient [en effet leur] affectation […] immédiatement remise en cause dans le cadre de la planification future: entre deux extrémités à forte densité, une zone villa ne peut subsister ". Enfin, le SIPAL recommandait l'application de l'art. 77 aLATC (devenu l'art. 47 LATC depuis le 1 er septembre 2018) eu égard à l'ancienneté du plan d'affectation sur lequel était fondée la demande d'autorisation de construire. De son côté, l'autorité intimée a justifié la délivrance de l'autorisation de construire en rappelant que la hauteur et la volumétrie du projet étaient réglementaires. Quant aux bâtiments projetés, ils prendraient place sur l'actuelle friche industrielle dénuée d'intérêt patrimonial et péjorant l'environnement, de sorte que la réalisation du projet conduirait à une amélioration esthétique indéniable. Enfin, des bâtiments d'une certaine volumétrie seraient situés à l'est des parcelles litigieuses, ce qui relativiserait l'impact du projet. Certes intégré dans l'ISOS, le secteur destiné à accueillir le projet présenterait un intérêt moindre (objectif de protection "b") que le quartier voisin du Cloître (objectif de protection "A") et serait intégré dans le périmètre de centre, ce qui justifierait sa densification. Le projet ne porterait du reste pas atteinte à l'objectif de préservation "b" puisqu'une zone de faible densité pourrait tout à fait subsister entre deux ensembles densément bâtis, contrairement à ce que mentionne le préavis du SIPAL. La jurisprudence aurait d'ailleurs confirmé l'admissibilité de la juxtaposition de zones distinctes offrant des possibilités de construire différentes, ayant pour corollaire l'implantation de bâtiments de volumes hétérogènes. b) aa)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bb) Au plan communal, l'art. 73 RPE – applicable à toutes les zones – prévoit que la Municipalité peut prendre des dispositions exceptionnelles pour sauvegarder l'esthétique d'un quartier ou pour tenir compte de situations acquises, notamment à la limite de deux zones. cc) Selon la jurisprudence du Tribunal fédéral (arrêt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115 Ia 363 consid. 2c; arrêt TF 1C_639/2018, 1C_641/2018 précité consid. 3.1.3; AC.2017.0226, 2017.0229 du 5 février 2018 consid. 7b; AC.2016.0052 du 27 juin 2016 consid. 2b; AC.2014.0208 du 9 février 2015 consid. 4a). Dans ce cadre, l'autorité doit prendre garde à ce que la clause d'esthétique ne vide pas pratiquement de sa substance la réglementation de la zone en vigueur (ATF 115 Ia 114 consid. 3d; arrêt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arrêt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arrêt précité AC.2017.0226, 2017.0229 consid. 7b; AC.2016.0151 du 28 novembre 2017 consid. 14b).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arrêts TF 1C_639/2018, 1C_641/2018 précité consid. 3.1.3 et 1C_450/2008 du 19 mars 2009; arrêt précité AC.2016.0052). Ainsi, le tribunal s’assurera que la question de l’intégration d’une construction ou d’une installation à l’environnement bâti a été examinée sur la base de critères objectifs (arrêts précités AC.2016.0052 consid. 2b et AC.2014.0208 consid. 4a; AC.2012.0388 du 28 novembre 2013 consid. 6a). c) La jurisprudence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(ATF 145 I 52 consid. 3; arrêts TF 1C_639/2018, 1C_641/2018 précité consid. 3.1.3 1C_639/2018, 1C_641/2018 du 23 septembre 2019 consid. 3.1.3; 1C_493/2016 du 30 mai 2017 consid. 2.2 et 1C_337/2015 du 21 décembre 2015 consid. 6.1.1; AC.2017.0108 précité consid. 6b ) d) aa) La ville d'Aigle est inscrite à l'ISOS. Les parcelles concernées par l'autorisation de construire font partie du périmètre environnant VIII intitulé " Entrepôts et villas, ayant remplacé des parcelles plantées de vignes, 2 e m. 20 e s. ", répertorié sous la catégorie d'inventaire "b" qui " indique qu'il s'agit d'une partie sensible pour l'image du site, souvent construite ". L'objectif de protection "b" attribué au périmètre environnant " préconise la sauvegarde des caractéristiques essentielles pour les composantes attenantes au site " par des " prescriptions concernant les constructions nouvelles, les plantations, etc. ". Au sud du projet, le périmètre du Cloître (6) est également recensé à l'ISOS, catégorie d'inventaire "A", avec un objectif de sauvegarde "A". bb)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de la loi fédérale du 1 er juillet 1966 sur la protection de la nature et du paysage [LPN; RS 451]).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A contrario ,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(arrêts AC.2017.0440 du 7 janvier 2019 consid. 10; AC.2016.0317 du 21 juillet 2017 consid. 11c et AC.2015.0089 du 11 novembre 2015 consid. 3a/dd). Cette répartition des compétences découle directement de la disposition constitutionnelle relative à la protection de la nature et du patrimoine (art. 78 Cst.) ( cf . arrêt TF 1A.142/2004 du 10 décembre 2004, in RDAF 2006 629; AC.2015.0111 du 17 août 2016 consid. 11a/cc; AC.2015.0089 précité consid. 3a/dd). e) Dans ce cadre, le recourant invoque uniquement l'" effet de barre " désastreux qu'induirait le projet. Cette seule affirmation ne suffit cependant pas à taxer l'appréciation de l'autorité intimée d'insoutenable. Comme mentionné par la municipalité, les quatre bâtiments litigieux prendront place sur une friche industrielle qui péjore actuellement l'environnement existant. Si leur impact ne sera certes pas négligeable vu les dimensions et le volume des constructions (trois étages sur rez-de-chaussée; hauteur à la corniche de 11 à 13 m; emprise au sol des quatre bâtiments de 458 à 567 m 2 ), il ressort du dossier que plusieurs bâtiments imposants sont d'ores et déjà érigés sur les parcelles en cause et sur les biens-fonds à l'est de celles-ci, ce que le tribunal a d'ailleurs pu observer lors de l'inspection locale. Pour le surplus, il n'est pas contesté que la hauteur et la volumétrie des bâtiments projetés sont réglementaires. Sous cet angle, le projet autorisé n'apparaît ainsi ni déraisonnable, ni irrationnel. Par ailleurs, le fait que les parcelles litigieuses sont incluses dans le périmètre environnant VIII de l'ISOS ne modifie pas l'appréciation qui précède et ne constitue pas un obstacle à l'autorisation de construire. Le périmètre s'est vu attribuer l'objectif "b" de sauvegarde, dont on rappellera qu'il préconise la sauvegarde des caractéristiques essentielles pour les composantes attenantes au site et non "A", qui tend à sauvegarder la substance même d'un périmètre, comme le quartier du Cloître situé au sud. En d'autres termes, le périmètre environnant VIII est protégé non pour lui-même, ce qui est du reste admis par les parties, mais en lien avec les composantes environnantes. Or, dans le but de préserver le château et ses abords, un PDL a été élaboré en 2004 qui vise précisément à en protéger la qualité paysagère et patrimoniale et dont l'enjeu a été défini comme suit: " Un vignoble de qualité à protéger pour préserver les vues et dégagements sur les ensembles bâtis remarquables, participants à l'image de marque d'Aigle " (p. 2 et 13 du PDL). Les buts de cette planification étaient la détermination: de critères d'appréciation pour redéfinir les possibilités de bâtir, tout en préservant la qualité du paysage viticole et bâti de cette portion du territoire (1), de conditions d'implantation des constructions nouvelles dans ce paysage viticole et bâti remarquable (2), ainsi que de moyens de planification à disposition pour mettre en action les objectifs du plan directeur communal (3) (p. 2 du PDL). Le PDL a notamment tenu compte de l'ISOS de l'époque, qui mentionnait déjà les qualités historico-architecturales du site, en particulier s'agissant du hameau du Cloître dont l'homogénéité de la substance était relevée (p. 7 du PDL). Outre les objectifs généraux de sauvegarde, l'ISOS proposait déjà à l'époque de l'élaboration du PDL, de concentrer les efforts de sauvegarde sur les environnements constituant des zones indispensables de transition entre les diverses entités construites et de soigner les espaces intermédiaires dans le tissu ancien en raison de leur impact sur la qualité de la substance construite historique (p. 7 du PDL). La planification prenait également en compte le recensement architectural cantonal et l'inventaire cantonal des régions archéologiques (p. 7 du PDL). Sur cette base, différents secteurs du château ont été délimités et fait l'objet de concepts sectoriels. Il s'agit en particulier du secteur n os 4 " En Martinet ", 5 " Avenue du Chamossaire " et 6 " Le Cloître et le Château ". Les parcelles de la constructrice et des propriétaires sont situées à proximité immédiate de ces secteurs et figurent partiellement sur les plan y relatifs. Néanmoins, elles n'ont pas été intégrées dans les périmètres des secteurs n os 4 et 5 dont les objectifs généraux sont pourtant la préservation des liaisons visuelles entre les différents secteurs. De mêmes, elles ne sont pas situées dans les différents " point [s] de vue et dégagement [s] en direction du Château et du Cloître " ou dans les " champ [s] visuel [s] depuis le Château " figurés sur les plans des secteurs n os 4, 5 et 6. Dans ce contexte, aucune mesure particulière concernant les parcelles des propriétaires n'a en définitive été jugée nécessaire ou utile afin de préserver le Château et ses abords, soit en particulier le quartier du Cloître situé à proximité immédiate. Il en résulte que si les bâtiments à ériger et le quartier du Cloître seront certes en " co-visibilité ", le projet ne portera toutefois pas une atteinte directe aux points de vue en direction du château et aux champs visuels depuis celui-ci, tels qu'ils ressortent du PDL, planification qui tient particulièrement compte des points de vue et dégagements. Contrairement à ce que soutient le SIPAL, le projet ne concurrencera ainsi pas la perception du quartier du Cloître ou, du moins, pas dans une mesure qui justifierait d'en interdire la réalisation. Le préavis du SIPAL mentionne encore que la réalisation du projet menacerait l'existence même des bâtiments recensés occupant les parcelles situées entre l'avenue des Ormonts et l'avenue du Cloître, dont l'affectation serait remise en cause à l'avenir étant entendu qu'une zone villa ne pourrait subsister entre deux périmètres fortement urbanisés (le Bourg à l'ouest et le projet litigieux à l'est). Cette considération excède le cadre du présent litige qui porte uniquement sur l'admissibilité du projet litigieux au regard du droit actuel et non sur d'hypothétiques planifications futures dans le cadre desquelles l'ISOS devra, comme déjà relevé, être pris en considération ( cf . consid. 6b/cc ci-dessus). En outre et comme déjà jugé par la cour de céans à réitérées reprises, la juxtaposition de zones distinctes offrant des possibilités de construire différentes, du point de vue notamment de la hauteur des bâtiments, a nécessairement pour conséquence que des bâtiments présentant des volumes différents puissent être érigés dans chacune de ces zones (arrêt AC.2017.0440 du 7 janvier 2019 consid. 10d et les références citées). Ce constat n'est ainsi pas de nature à remettre en question l'autorisation délivrée. Il le serait d'autant moins en l'espèce que les parcelles litigieuses font partie du périmètre de centre et du périmètre compact d'agglomération, appelés à être densifiés conformément à la loi fédérale du 22 juin 1979 sur l'aménagement du territoire (LAT; RS 700) , au PDCn et au projet d'agglomération. Le grief doit ainsi être rejeté.</w:t>
      </w:r>
    </w:p>
    <w:p>
      <w:r>
        <w:rPr>
          <w:b/>
        </w:rPr>
        <w:t>E. 7</w:t>
      </w:r>
    </w:p>
    <w:p>
      <w:r>
        <w:t>a) Le recourant a encore invoqué l'art. 63 aLATC qui fixe les conditions de la révision des plans (devenu l'art. 27 LATC à compter du 1 er septembre 2018) et qui aurait, selon lui, justifié de refuser l'autorisation de construire attaquée. Pour sa part, l'autorité intimée a indiqué dans sa réponse qu'un contrôle incident de la planification ne se justifiait pas malgré l'ancienneté de la planification en vigueur, dès lors que les parcelles se trouvaient dans le périmètre de centre destiné à être densifié. Par la suite, le recourant a contesté le besoin de densification évoqué par l'autorité intimée, sans toutefois soutenir que les conditions du contrôle incident seraient réunies en l'espèce. b)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 cf . ATF 121 II 317 consid. 12c). La disposition cantonale correspondante est l'art. 63 aLATC dont se prévaut précisément le recourant (arrêt AC.2017.0200 du 4 septembre 2018 consid. 5c et les références citées). 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 cf . ATF 144 II 41 consid.</w:t>
      </w:r>
    </w:p>
    <w:p>
      <w:r>
        <w:rPr>
          <w:b/>
        </w:rPr>
        <w:t>E. 8</w:t>
      </w:r>
    </w:p>
    <w:p>
      <w:r>
        <w:t>a) Le recourant a également critiqué pour la première fois, dans son mémoire complémentaire du 6 mars 2019, la non-application par l'autorité intimée de l'art. 47 LATC pour refuser le permis de construire. Dans ce cadre, il a indiqué que les travaux de révision du PGA avaient " maintenant été initiés ", ce dont attestait l'annonce du 10 octobre 2018 publiée sur son site Internet par le bureau d'urbanisme ayant remporté l'appel d'offres portant sur l'élaboration du nouveau PGA communal. Par ailleurs, le délai pour réviser les PGA communaux étant fixé au mois de juin 2021, il ne restait plus à l'autorité intimée qu'un délai d'un peu plus de deux ans pour ce faire. b) L'art. 47 LATC, qui correspond à l'art. 77 aLATC (arrêt AC.2018.0435 du 12 août 2019 consid. 2c), a la teneur suivante: " Art. 47 Plans en voie d'élaboration 1 La municipalité peut refuser un permis de construire lorsqu'un projet de construction, bien que conforme, compromet une modification de plan envisagée, non encore soumise à l'enquête publique. […]" c) Il résulte de la jurisprudence rendue sous l'empire de l'art. 77 aLATC, qu'un tel refus constitue une mesure provisionnelle prise dans le cadre d'une procédure de planification; cette disposition peut être appliquée en lien avec l'instauration d'une zone réservée au sens de l'art. 27 LAT, laquelle est assujettie en droit vaudois à la même procédure d'établissement que les autres plans d'affectation (art. 46 al. 2 LATC; cf . arrêts AC.2016.0305 du 3 août 2017 consid. 2a; AC.2015.0326 du 7 juin 2016 consid. 3 et les références citées). Le Tribunal fédéral a du reste confirmé qu'une commune pouvait refuser un permis de construire en application de l'art. 77 aLATC au motif qu'elle envisageait d'instaurer une zone réservée (arrêt TF 1C_241/2016 du 21 avril 2017 consid. 4). Un refus fondé sur l'art. 77 aLATC doit permettre d'empêcher la réalisation d'un projet conforme à une réglementation devenue inadaptée et qui compromettrait la révision de cette dernière. L'application de l'art. 77 aLATC suppose que l'intention de réviser la réglementation en vigueur ait fait l'objet d'un début de concrétisation, au moins sous la forme d'études préliminaires. La révision doit de surcroît répondre à un réel besoin de planification (arrêts TF 1C_696/2013 du 31 janvier 2014 consid. 2.2; TF 1C_22/2012 du 30 août 2012 consid. 7). L’autorité doit avoir exprimé une volonté claire de modifier la planification en vigueur, ce qui peut résulter d'une décision municipale, d'un vote du conseil de la commune ou du mandat d'étude confié à un bureau d'urbanistes (AC.2016.0326 du 2 octobre 2017 consid. 1a et les références citées). d) Compte tenu des concepts juridiques largement indéterminés utilisés par l'art. 47 LATC – qui correspondent à ceux de l'ancien art. 77 aLATC, en vigueur jusqu'au 31 août 2018 – la municipalité qui applique cette disposition jouit d'une grande latitude de jugement et d’un pouvoir d’appréciation important (arrêts AC.2018.0435 précité consid. 2c; AC.2017.0223 du 27 juin 2018 consid. 2b et AC.2016.0344 du 19 février 2018). L'art. 47 LATC lui confère en effet une simple faculté. La municipalité n'est cependant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(AC.2016.0305 du 3 août 2017 consid. 2c/aa et les références). Si les communes dont la zone à bâtir est surdimensionnée sont appelées à faire usage de cette disposition afin d'éviter de péjorer la situation existante pendant le processus de révision du PGA, cela ne signifie cependant pas qu'elles doivent appliquer sans discernement cette disposition à toute demande de permis de construire (AC.2017.0223 du 27 juin 2018 consid. 2c; AC.2016.0305 du 3 août 2017 consid. 2c/cc). e) En l'espèce, lorsqu'elle a délivré l'autorisation de construire litigieuse le 10 octobre 2018, l'autorité intimée avait déjà entamé les démarches en vue de la révision de sa planification communale. Le même jour en effet, un bureau d'urbanisme a annoncé sur son site Internet avoir remporté, avec d'autres bureaux, l'appel d'offres pour l'élaboration du plan général d'affectation de la commune. Dans la présente procédure, l'autorité intimée a cependant expliqué n'avoir pas appliqué l'art. 47 LATC car les travaux n'étaient alors pas suffisamment avancés pour justifier un refus sur cette base et que, par ailleurs, le projet de la constructrice ne compromettait quoi qu'il en soit pas la planification future qui tendrait au contraire à densifier la zone en question. A cet égard, on soulignera que la zone réservée mise à l'enquête en 2019 en vue du redimensionnement de la zone à bâtir n'inclut pas les parcelles destinées à accueillir le projet, ce qui corrobore l'affirmation de l'autorité intimée selon laquelle elle entend densifier ce secteur. Au vu des éléments qui précèdent, le choix de l'autorité intimée de ne pas appliquer l'art. 47 LATC repose sur des motifs objectifs et vérifiables. Il l'est en réalité d'autant plus que, faut-il le rappeler, les parcelles en cause sont déjà bâties (friche industrielle), incluses dans le périmètre de centre et bien desservies en transports publics. Dans ces circonstances, le tribunal ne discerne aucun indice militant en faveur de l'exclusion de la zone à bâtir des parcelles litigieuses à l'avenir ou de la réduction de la densité. En d'autres termes et comme l'affirme l'autorité  intimée, rien ne laisse présager une contrariété du projet à la planification future. Partant, c'est sans abuser de son large pouvoir d'appréciation que l'autorité intimée a renoncé à appliquer l'art. 47 LATC. Ici encore, le grief s'avère mal fondé.</w:t>
      </w:r>
    </w:p>
    <w:p>
      <w:r>
        <w:rPr>
          <w:b/>
        </w:rPr>
        <w:t>E. 9</w:t>
      </w:r>
    </w:p>
    <w:p>
      <w:r>
        <w:t>a) En dernier lieu, le recourant expose que selon la synthèse CAMAC, les conditions fixées par l'entreprise d'exploitation ferroviaire TPC "[devaient] figurer intégralement dans le permis de construire ". Dès lors que tel ne serait pas le cas, le permis litigieux devrait être annulé. Dans leurs mémoires de réponses, l'autorité intimée et la constructrice ont indiqué que les TPC avaient retiré leur opposition suite à la signature d'une convention versée à la procédure. Au vu de la convention, le recourant a précisé dans sa réplique que le retrait de l'opposition ne portait que sur les bâtiments A à D et non pas sur le bâtiment E du projet, de sorte que la réalisation simultanée des bâtiments A à E ne pouvait être assurée contrairement à la mention figurant au Registre foncier. Partant, le permis n'aurait pu être délivré. b) En l'espèce, la convention conclue prévoit le retrait de l'opposition (art. 1 de la convention) mais la maintient uniquement concernant l'immeuble E prévu sur la parcelle n o 3933 (art. 3 de la convention; l'opposition d'ailleurs renouvelée dans le cadre de la nouvelle mise à l'enquête concernant le bâtiment E ( cf . lettre L ci-dessus). En d'autres termes, les TPC ont donné leur accord à la construction des bâtiments A à D, conformément à l'art. 18m LCdF. Or, dans la mesure où le projet a été modifié en ce sens, que la construction du bâtiment E a été abandonnée et que le permis a été délivré pour la seule construction des bâtiments A à D, le grief tombe manifestement à faux: la question de l'éventuelle autorisation de construire un bâtiment supplémentaire sur la parcelle n o 3933 (bâtiment E) et, partant, l'opposition y relative des TPC excède le cadre du présent litige et ne saurait justifier l'annulation de la décision entreprise. Pour ce qui est de l'argument du recourant selon lequel l'absence d'autorisation concernant le bâtiment E empêcherait la réalisation simultanée des bâtiments et justifierait l'annulation du permis de construire, il s'avère également privé de tout fondement pour les motifs déjà exposés ( cf . consid. 2 ci-dessus). Le grief tombe ainsi à faux.</w:t>
      </w:r>
    </w:p>
    <w:p>
      <w:r>
        <w:rPr>
          <w:b/>
        </w:rPr>
        <w:t>E. 10</w:t>
      </w:r>
    </w:p>
    <w:p>
      <w:r>
        <w:t>En définitive, le recours, mal fondé, doit être rejeté et l'autorisation de construire du 10 octobre 2018 confirmée. Succombant, le recourant supportera les frais de justice et versera des dépens en faveur de l'autorité intimée, d'une part, et de la constructrice ainsi que des propriétaires qui ont procédé et obtiennent gain de cause par l'entremise d'un mandataire professionnel. L'autorité concernée n'étant pas assistée d'un conseil, elle n'a pas droit à des dépens. Il en va de même des propriétaires non représentés par un mandataire professionnel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