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AC.2018.0377 vom 6. März 2019</w:t>
      </w:r>
    </w:p>
    <w:p>
      <w:r>
        <w:t>VD Tribunal cantonal, 2019-03-06, FR</w:t>
      </w:r>
    </w:p>
    <w:p>
      <w:r>
        <w:rPr>
          <w:b/>
        </w:rPr>
        <w:t xml:space="preserve">Quelle: </w:t>
      </w:r>
      <w:r>
        <w:t>https://mcp.opencaselaw.ch/entscheid/vd_omni_AC.2018.0377</w:t>
      </w:r>
    </w:p>
    <w:p>
      <w:r>
        <w:t>FR: VD_OMNI AC.2018.0377 du 6 mars 2019</w:t>
      </w:r>
    </w:p>
    <w:p>
      <w:r>
        <w:t>IT: VD_OMNI AC.2018.0377 del 6 marzo 2019</w:t>
      </w:r>
    </w:p>
    <w:p>
      <w:pPr>
        <w:pStyle w:val="Heading2"/>
      </w:pPr>
      <w:r>
        <w:t>Regeste</w:t>
      </w:r>
    </w:p>
    <w:p>
      <w:r>
        <w:t>A.________/Municipalité de Corcelles-près-Payerne | Décision municipale ordonnant l'évacuation d'une centaine de véhicules entreposés sur la partie en nature pré-champ d'une parcelle en zone industrielle. Pas de violation du droit d'être entendu du propriétaire du bien-fonds recourant sous l'angle de la motivation de la décision entreprise (c. 2). Sur le fond, un tel dépôt doit être assujetti à autorisation et la surface sur laquelle sont stockées les voitures ne répond pas aux exigences posée par l'art. 40 RLATC (c. 3). Le dépôt de nombreuses voitures dans de telles conditions implique nécessairement un danger concret et immédiat de pollution des sols ou des eaux, et une certaine urgence à éliminer ce risque. C’est donc avec raison que l’ordre de rétablissement de la situation réglementaire a été notifié au recourant propriétaire de la parcelle en sa qualité de perturbateur, la question de savoir s'il revêt cette qualité par situation ou par comportement pouvant souffrir de rester ouverte dans un tel cas (c. 4). Enfin, les mesures ordonnées sont proportionnées aux circonstances (c. 5). Recours rejeté et ordre d'évacuation confirmé.</w:t>
      </w:r>
    </w:p>
    <w:p>
      <w:pPr>
        <w:pStyle w:val="Heading2"/>
      </w:pPr>
      <w:r>
        <w:t>Erwägungen</w:t>
      </w:r>
    </w:p>
    <w:p>
      <w:r>
        <w:rPr>
          <w:b/>
        </w:rPr>
        <w:t>E. 1</w:t>
      </w:r>
    </w:p>
    <w:p>
      <w:r>
        <w:t>Le recours, déposé dans le délai légal de trente jours (cf. art. 95 de la loi vaudoise du 28 octobre 2008 sur la procédure administrative [LPA-VD; BLV 173.36]) par le destinataire de la décision qui peut se prévaloir d’un intérêt digne de protection à son annulation ou sa modification (cf. art. 75 let. a LPA-VD), et qui respecte les autres conditions formelles (cf. art. 79 LPA-VD), est recevable. Il y a donc lieu d’entrer en matière sur le fond.</w:t>
      </w:r>
    </w:p>
    <w:p>
      <w:r>
        <w:rPr>
          <w:b/>
        </w:rPr>
        <w:t>E. 2</w:t>
      </w:r>
    </w:p>
    <w:p>
      <w:r>
        <w:t>Le recourant invoque au premier chef une violation de son droit d'être entendu, en ce sens que la municipalité (ci-après l'autorité intimée) aurait rendu une décision insuffisamment motivée. a) Le droit d'être entendu est une garantie constitutionnelle de caractère formel, dont la violation doit entraîner l'annulation de la décision attaquée, indépendamment des chances de succès du recours sur le fond (ATF 122 II 464 consid. 4a). Tel qu'il est garanti par l'art. 29 al. 2 de la Constitution fédérale de la Confédération suisse du 18 avril 1999 (Cst.; RS 101),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(cf. ATF 137 IV 33 consid. 9.2). Le droit de consulter le dossier s'étend à toutes les pièces décisives et garantit que les parties puissent prendre connaissance des éléments fondant la décision et s'exprimer à leur sujet (cf. ATF 132 II 485 consid. 3.2). Le droit d'être entendu comprend également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138 IV 81 consid. 2.2). La motivation peut être implicite et résulter des différents considérants de la décision (cf. TF 1B_176/2015 du 2 juin 2015 consid. 3.1 et les références). Le droit à la motivation d’une décision est également prévu par l'art. 42 al. 1 let. c LPA-VD. Selon la jurisprudence, une violation du droit d'être entendu est considérée comme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(cf. ATF 137 I 195 consid. 2.3; TF 2C_980/2013 et 2C_981/2013 du 21 juillet 2014 consid. 4.3 et les références). b) En l'espèce, le recourant fait grief à l'autorité intimée de ne pas avoir "même brièvement", exposé les raisons pour lesquelles le stationnement des véhicules du recourant serait contraire à l'art. 40 RLATC. Dans la décision entreprise, l'autorité intimée fait référence au courriel du recourant du 19 septembre 2018 ayant trait à la location des places de parc extérieures de la parcelle et évoque un constat effectué sur place. Elle mentionne ensuite que le stationnement de véhicules non immatriculés sur une place non aménagée à cet effet est interdit. Elle cite en outre intégralement l'art. 40 RLATC et il découle à tout le moins implicitement de cette décision que les conditions posées par cette disposition pour stationner des véhicules sans plaques d'immatriculation ne sont pas remplies en l'espèce. Partant, l'intéressé disposait des éléments nécessaires à comprendre le fondement de la décision entreprise et à l'attaquer utilement, ce qu'il a d'ailleurs fait. Les exigences minimales en matière de motivation des décisions administratives sont en tous les cas respectées. Au demeurant, le recourant a eu tout loisir de s'exprimer sur les arguments invoqués par l’autorité intimée dans ses écritures, de sorte qu'un prétendu vice de procédure a pu être réparé en procédure de recours.</w:t>
      </w:r>
    </w:p>
    <w:p>
      <w:r>
        <w:rPr>
          <w:b/>
        </w:rPr>
        <w:t>E. 3</w:t>
      </w:r>
    </w:p>
    <w:p>
      <w:r>
        <w:t>Ces dispositions ne sont pas applicables aux places de stationnement privées aménagées en nombre limité, pour véhicules automobiles légers pourvus de plaques de contrôle ou immatriculés. b) L'art. 3 de loi fédérale du 24 janvier 1991 sur la protection des eaux (LEaux; RS 814.20) prévoit que chacun doit s'employer à empêcher toute atteinte nuisible aux eaux en y mettant la diligence qu'exigent les circonstances. On entend par pollution au sens de la LEaux toute altération nuisible des propriétés physiques, chimiques ou biologiques de l'eau (art. 4 let. d LEaux). Aux termes de l'art. 6 LEaux, il est interdit d'introduire directement ou indirectement dans une eau des substances de nature à la polluer; l'infiltration de telles substances est également interdite (al. 1). De même, il est interdit de déposer et d'épandre de telles substances hors d'une eau s'il existe un risque concret de pollution de l'eau (al. 2). L'art. 7 de la loi vaudoise du 17 septembre 1974 sur la protection des eaux contre la pollution le 18 décembre 1989 (LPEP; BLV 814.31) prévoit que les communes veillent à prévenir les cas de pollution et prennent toutes les mesures utiles à cet effet (al. 1). La loi fédérale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Par atteintes, on entend notamment les pollutions des eaux et les autres interventions dont elles peuvent faire l'objet (art. 7 al. 1 LPE). c) En l'espèce, Il n'est pas contesté que plusieurs dizaines de véhicules sans immatriculation sont stationnés et entreposés sur la parcelle n° 1182 depuis le mois de septembre 2018 à tout le moins, sans autorisation. Il n'est pas contesté non plus que la parcelle ne dispose pas d'une place de dépôt ou de stationnement conforme à l'article 40 al. 1 RLATC ou qui aurait été installée après autorisation. Les photographies figurant au dossier montrent que, sur une large partie nord de la parcelle en nature de pré-champ, sont stationnées de nombreuses voitures alignées en colonnes. Contrairement à ce qu'allègue le recourant, leur nombre est loin d'être anecdotique puisqu'une rapide estimation sur la base des photographies permet de dénombrer une centaine de véhicules, a priori en bon état. Le terrain sur lequel ces véhicules sont entreposés est un simple terrain sans revêtement et recouvert d'herbe, impropre à un usage professionnel en relation avec l'entreposage d'automobiles. La consultation des images librement disponibles sur internet (Google Maps, Google street view et guichet cartographique) permet en outre de constater la dimension de la surface herbeuse et sans revêtement de la parcelle. Comme évoqué, ces voitures sont entreposées depuis le mois de septembre 2018, soit depuis plusieurs mois. Selon les déclarations du recourant le dépôt est limité à la durée des travaux et de la construction du site de B.________ à ********. Au vu de l'importance des travaux prévus à ********, l'autorité intimée estime que ceux-ci devraient durer plus d'une année. On ne sait toutefois pas si ces travaux ont débuté, ni, le cas échéant, quand ils seront achevés. Il ne fait pas de doute qu'un tel dépôt sur parcelle n° 1182 doit être assujetti à autorisation et que la surface sur laquelle sont stockées les voitures ne répond pas aux exigences posée par l'art. 40 RLATC. Des travaux d'aménagement soumis à une autorisation cantonale devraient être réalisés sur cette parcelle ou sur sa partie pré-champ avant qu'elles ne puissent, cas échéant, être utilisées pour le stationnement professionnel de véhicules automobiles, au regard en particulier de son incidence sur l'environnement. C'est bien la raison pour laquelle la municipalité a interdit le stationnement de véhicules à cet endroit. Le fait que cette situation ne serait, selon les dires du recourant, que provisoire et que les véhicules en cause appartiendraient à un tiers qui les parquerait avec son accord n'y change à l'évidence rien: le recourant ne disposant pas de place de dépôt ou de stationnement conforme à l'art. 40 al. 1 RLATC, il lui est interdit de laisser, même provisoirement, des véhicules destinés à la vente ou à la réparation sur sa parcelle. C'est à juste titre que la municipalité lui a intimé l'ordre de les enlever. On mentionnera que les places de stationnement privées sises sur la parcelle (dont le nombre ne ressort pas du dossier) permettraient, conformément à l'art. 40 al. 3 RLATC, d'y stationner "des véhicules automobiles légers pourvus de plaques de contrôle ou immatriculés". Elles ne peuvent servir à un usage professionnel, en particulier pour y stationner des véhicules à moteur dépourvus de permis de circulation valable ou non encore immatriculés, lesquels doivent obligatoirement trouver place sur un lieu de dépôt conforme à l'art. 40 al. 1 et 2 LATC. Le fait que ces véhicules pourraient être utilisés au bénéfice du permis de circulation collectif lié à des plaques professionnelles par exemple n'y change rien: seul un véhicule immatriculé ou muni de la plaque professionnelle peut être admis à stationner sur les places de stationnement privées au sens de l'art. 40 al 3 LATC.</w:t>
      </w:r>
    </w:p>
    <w:p>
      <w:r>
        <w:rPr>
          <w:b/>
        </w:rPr>
        <w:t>E. 4</w:t>
      </w:r>
    </w:p>
    <w:p>
      <w:r>
        <w:t>Le recourant fait valoir que l'ordre d'évacuation aurait dû être dirigé contre un tiers, soit la société B.________ qui serait propriétaire des véhicules entreposés sur la parcelle en cause. Cette société serait selon lui la perturbatrice par comportement alors qu'il ne serait que le perturbateur par situation, de sorte qu'il ne serait pas responsable de la situation actuelle. a)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Il n'y a toutefois pas de doute que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n’était pas arbitraire d’adresser l’ordre de remise en état au perturbateur par comportement, qui doit entrer en considération si possible avant le perturbateur par situation, s’il n’y pas d’urgence (ATF 107 Ia 19 consid. 2b; voir ég. arrêts AC.2016.0201 du 1er décembre 2016 consid. 8a et AC.2015.0362 du 14 décembre 2016 consid. 6c). b) En l'espèce, le recourant en sa qualité de propriétaire de la parcelle n° 1182 répond à la qualification de perturbateur par situation dans la mesure où les véhicules litigieux ne semblent pas lui appartenir. II a toutefois créé la situation illicite en mettant en location une partie de sa parcelle comme place de stationnement pour véhicules à la société propriétaire des voitures alors que son bien-fonds n'est pas équipé à cette fin. Il ressort notamment de son courriel du 19 septembre 2018 que le recourant a autorisé, manifestement contre paiement d'un loyer, l'entreposage de véhicules sur sa parcelle. Il est donc bien à l'origine de la situation qui a amené la municipalité à intervenir et on pourrait dès lors se demander s'il ne devrait pas être considéré lui-même comme perturbateur par comportement. Quoi qu'il en soit, le dépôt de nombreuses voitures dans de telles conditions implique nécessairement un danger concret et immédiat de pollution des sols ou des eaux, et une certaine urgence à éliminer ce risque. C’est donc avec raison que l’ordre de rétablissement de la situation réglementaire a été notifié au recourant en sa qualité de perturbateur, la question de savoir s'il revêt cette qualité par situation ou par comportement pouvant souffrir de rester ouverte dans un tel cas. La société locataire, soit B.________, par son contrat de bail, dispose du d’un droit d’usage sur les surfaces louées. Dans une telle configuration, l'autorité intimée n'a pas à rechercher qui sont le ou les propriétaires des véhicules - en l'occurrence non-immatriculés - qui sont entreposés sur la parcelle en cause. Dans la présente procédure qui concerne le droit public des constructions et la police des constructions, le propriétaire du fonds, qui a le pouvoir - fondé sur le droit privé - de disposer de son immeuble est bien un perturbateur qui peut être le destinataire de la décision comportant un ordre d'évacuation. Le grief est dès lors mal fondé.</w:t>
      </w:r>
    </w:p>
    <w:p>
      <w:r>
        <w:rPr>
          <w:b/>
        </w:rPr>
        <w:t>E. 5</w:t>
      </w:r>
    </w:p>
    <w:p>
      <w:r>
        <w:t>Le recourant fait ensuite valoir que la décision entreprise violerait le principe de la proportionnalité dans le cadre de l'application de l'art. 40 RLATC. a) Le principe de la proportionnalité, ancré à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ATF 136 I 87 consid. 3.2, JT 2010 I 367; TF 1C_263/2013 du 14 mai 2013 consid. 3.1; cf. également TF 2D_16/2012 du 18 juillet 2012 consid. 5.1).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(TF 1C_139/2014 du 17 mars 2015 consid. 3.1; ATF 132 II 21 consid. 6 p. 35 ; 123 II 248 consid. 3a/bb p. 252; 111 Ib 213 consid. 6b p. 224 s.; 102 Ib 64 consid. 4 p. 69). Celui qui place l'autorité devant un fait accompli doit s'attendre à ce que celle-ci se préoccupe plus de rétablir une situation conforme au droit que d'éviter les inconvénients qui en découlent pour lui (ATF 123 II 248 consid. 4a p. 255; 111 Ib 213 consid. 6b p. 224). b) En l'espèce, le recourant considère que le fait d'exiger l'évacuation des véhicules stationnés sur sa parcelle dans un délai d'un mois est disproportionné. Le recourant ne disposant pas de place de dépôt ou de stationnement conforme à l'art. 40 al. 1 RLATC, il lui est interdit de laisser, même provisoirement, des véhicules sur sa parcelle. C'est à juste titre que la municipalité lui a intimé l'ordre de les enlever. Ce stationnement est manifestement destiné à durer un certain temps, et même s'il ne ressort pas du dossier que des tiers se seraient plaints de nuisances ou de gênes, cette situation engendre un risque patent de pollution des eaux souterraines, attesté d'ailleurs par la DGE qui souligne que le sous-sol est en l'espèce très vulnérable aux pollutions et que le risque d'entreposer des véhicules sans revêtement n'est pas acceptable du point de vue de la protection des eaux souterraines d'intérêt public. Les véhicules ont été stationnés sans autorisation préalable, à l'insu de l'autorité intimée, qui a été mise ainsi devant le fait accompli. De son côté, le recourant n'a pas établi que cette mesure serait de nature à lui causer un préjudice important. L'évacuation apparaît en l'état, et à défaut d'autres propositions présentées par le recourant ou son locataire, la seule mesure à même d'assurer la protection de l'environnement et d'éviter tout risque de pollution. L'intérêt public que représente la protection des eaux souterraines contre la pollution l'emporte sur les désagréments que peut impliquer le déplacement des véhicules par le recourant et son locataire. Enfin, le délai d'un mois imparti à l'intéressé pour s'exécuter paraît suffisant. Il permettra au locataire du recourant d'évacuer progressivement les voitures entreposées, soit en les vendant, soit en les déplaçant sur des places de dépôt appropriées. Il résulte de ce qui précède que l'intérêt public à rétablir une situation conforme au droit l'emporte sur les intérêts privés du recourant, de sorte que la décision attaquée est conforme au principe de la proportionnalité et ne prête pas le flanc à la critique.</w:t>
      </w:r>
    </w:p>
    <w:p>
      <w:r>
        <w:rPr>
          <w:b/>
        </w:rPr>
        <w:t>E. 6</w:t>
      </w:r>
    </w:p>
    <w:p>
      <w:r>
        <w:t>En définitive, le recours, mal fondé, doit être rejeté et la décision attaquée confirmée. Compte tenu de cette issue, la requête d'effet suspensif, qui n'a pas été retiré, n'a plus d'objet. La municipalité est chargée de fixer au recourant un nouveau délai pour se conformer aux mesures ordonnées et de veiller à l'exécution de sa décision. Le recourant, qui succombe, supportera les frais de justice (cf. art. 49 al. 1 LPA-VD), ainsi qu'une indemnité de dépens en faveur de la municipalité, qui a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