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AC.2018.0361 vom 15. April 2019</w:t>
      </w:r>
    </w:p>
    <w:p>
      <w:r>
        <w:t>VD Tribunal cantonal, 2019-04-15, FR</w:t>
      </w:r>
    </w:p>
    <w:p>
      <w:r>
        <w:rPr>
          <w:b/>
        </w:rPr>
        <w:t xml:space="preserve">Quelle: </w:t>
      </w:r>
      <w:r>
        <w:t>https://mcp.opencaselaw.ch/entscheid/vd_omni_AC.2018.0361</w:t>
      </w:r>
    </w:p>
    <w:p>
      <w:r>
        <w:t>FR: VD_OMNI AC.2018.0361 du 15 avril 2019</w:t>
      </w:r>
    </w:p>
    <w:p>
      <w:r>
        <w:t>IT: VD_OMNI AC.2018.0361 del 15 aprile 2019</w:t>
      </w:r>
    </w:p>
    <w:p>
      <w:pPr>
        <w:pStyle w:val="Heading2"/>
      </w:pPr>
      <w:r>
        <w:t>Regeste</w:t>
      </w:r>
    </w:p>
    <w:p>
      <w:r>
        <w:t>A.________/Département du territoire et de l’environnement (DTE), Municipalité de St-Légier-La Chiésaz | Recours contre la décision d'approbation d'une zone réservée cantonale. La parcelle, de grandes dimensions, se trouve dans un secteur bordé au sud d'un cordon boisé. Malgré la présence de quelques constructions isolées à proximité, le secteur dans lequel s'insère la parcelle litigieuse marque, avec les parcelles voisines, une interruption dans l'espace bâti, en-dehors du périmètre compact de l'agglomération Rivelac et du territoire urbanisé. La recourante s'oppose à l'instauration d'une zone réservée en se prévalant des investissements consentis en rapport avec l'équipement, de l'utilisation actuelle des terrains et de l'absence de vocation agricole de la parcelle. Ces éléments ne sont toutefois pas déterminants au point de renoncer à l'instauration de la zone réservée. On ne saurait d'emblée considérer que toutes les parcelles déjà équipées resteront en zone à bâtir. Par ailleurs, s'il était effectivement envisagé de dézoner la parcelle dans le cadre de la révision du plan d'affectation, la recourante pourrait alors faire valoir ses griefs au cours de la procédure menée à cette occasion. Enfin, il existe un rapport raisonnable entre le sacrifice financier (même si celui-ci est considérable) demandé à la recourante qui voit ses projets de construction provisoirement bloqués et l'intérêt public en jeu. Rejet du recours. Recours au TF rejeté (1C_267/2019 du 5 mai 2020).</w:t>
      </w:r>
    </w:p>
    <w:p>
      <w:pPr>
        <w:pStyle w:val="Heading2"/>
      </w:pPr>
      <w:r>
        <w:t>Erwägungen</w:t>
      </w:r>
    </w:p>
    <w:p>
      <w:r>
        <w:rPr>
          <w:b/>
        </w:rPr>
        <w:t>E. 1</w:t>
      </w:r>
    </w:p>
    <w:p>
      <w:r>
        <w:t>Interjeté contre la décision levant l’opposition déposée par la recourante contre un projet de zone réservée cantonale concernant la parcelle dont elle est propriétaire, le présent recours satisfait aux conditions de recevabilité des art. 92 ss de la loi du 28 octobre 2008 sur la procédure administrative (LPA-VD; BLV 173.36). Il y a lieu d'entrer en matière.</w:t>
      </w:r>
    </w:p>
    <w:p>
      <w:r>
        <w:rPr>
          <w:b/>
        </w:rPr>
        <w:t>E. 2</w:t>
      </w:r>
    </w:p>
    <w:p>
      <w:r>
        <w:t>a) La recourante a requis la tenue d'une inspection locale, afin de permettre à la Cour de constater la réalité des faits allégués dans le recours.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le tribunal s'estime suffisamment renseigné par le dossier, en particulier par les plans et les écritures des parties, ainsi que par l'extrait du guichet cartographique, si bien qu'une inspection locale n'apparaît pas nécessaire, ni susceptible d'influencer le sort de la cause, comme cela résulte des motifs qui suivent. Au surplus, le tribunal ne remet pas en question les faits allégués dans le recours. b) La recourante a requis le 11 avril 2019 que soit ordonné un troisième échange d'écritures. Le tribunal constate à ce propos qu'un double échange d'écritures a déjà eu lieu dans la présente procédure, alors que la loi sur la procédure administrative vaudoise n'en prévoit en principe qu'un seul (art. 81 LPA-VD). La recourante ne peut ainsi déduire aucun droit de la LPA-VD. On ajoutera que le droit d'être entendu, cité ci-avant, comprend également le droit, pour une partie à un procès, de prendre connaissance de toute argumentation présentée au tribunal et de se déterminer à son propos. Toutefois, l'autorité intimée a indiqué, en date du 24 janvier 2019, après que les autres parties aient remis leurs observations, qu'elle ne souhaitait pas se déterminer au sujet des dernières écritures. Il ne peut par conséquent pas être question d'un droit de réplique à ce propos et il convient de rejeter la requête formulée en date du 11 avril 2019.</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Zurich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précité, FF 2010 959, ch. 1.1 p. 963, ch. 2.3.4 p. 980, ch. 2.6 p. 987 et ch. 3.2 p. 988).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 er août 2008, l'actuel PDCn a fait l'objet de plusieurs adaptations. Une quatrième adaptation a été adoptée par le Grand Conseil les 20 et 21 juin 2017 pour être approuvée par le Conseil fédéral le 31 janvier 2018.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cc) En l'espèce , il n'est pas contesté que la commune de St-Légier-La Chiésaz est surdimensionnée, comme le relève le SDT en dernier lieu dans sa réponse du 20 décembre 2018: "Les données chiffrées actualisées du SDT concernant le surdimensionnement de la zone à bâtir de Saint-Légier-La Chiésaz hors centre [document intitulé "Simulation pour le redimensionnement de la zone à bâtir (zone d'habitation et mixte), prise en compte de la population au 31.12.16"] sont les suivantes : la capacité d'accueil de la Commune hors centre est actuellement de 910 habitants, soit 815 habitants en fonction des réserves de terrains disponibles et 95 habitants en fonction du potentiel de densification des terrains déjà bâtis. En vertu de la mesure A11 du Plan directeur cantonal (PDCn), avec une population actuelle de 1288 habitants (fin 2016), le potentiel d'accueil de la Commune est de 143 habitants hors centre à l'horizon 2036. La surcapacité d'accueil est de 767 habitants. Compte tenu de l'importante surcapacité d'accueil hors centre, la création d'une zone réservée cantonale est justifiée de manière à inciter la Commune à poursuivre ses efforts de redimensionnement et à adapter sa planification aux exigences de la LAT". La recourante ne discute pas davantage, à juste titre, que la commune est tenue de modifier son plan général d'affectation afin de répondre aux exigences du nouvel art. 15 LAT entré en vigueur le 1 er mai 2014, démarche qui devrait notamment se concrétiser par une réduction des zones à bâtir d) Compte tenu du surdimensionnement de la zone à bâtir communale, il faut ainsi constater que la création d'une zone réservée est justifiée de manière à ne pas rendre plus difficiles, voire impossibles, de futurs changements d'affectation et à garantir le redimensionnement de la zone à bâtir dans le cadre de la révision du plan d'affectation communal. Il reste à déterminer si, en relation avec cet objectif, la zone réservée cantonale litigieuse est nécessaire. La recourante et la municipalité soutiennent que tel n'est pas le cas puisque l'autorité communale est consciente de la nécessité de prendre des mesures provisionnelles afin de garantir le redimensionnement de la zone à bâtir et a élaboré à cet effet une zone réservée communale, qui a d'ores et déjà été mise à l'enquête publique La recourante soutient ainsi que le canton ne pourrait intervenir que si la commune est inactive, ce qui n'est pas le cas en l'espèce. Cette vision des choses ne peut pas être suivie. En effet, même si l'autorité communale a, dans le cadre de la vision communale, proposé un certain redimensionnement hors périmètre de centre et entend instaurer une zone réservée communale garantissant ce redimensionnement, celui-ci ne sera pas nécessairement suffisant pour permettre d'atteindre les objectifs fixés par la 4e adaptation du PDCn. De plus, la zone réservée communale n’est pas encore entrée en force et son issue est pour l'instant encore incertaine. Ainsi la zone réserve cantonale s'avère nécessaire pour garantir la liberté d'action des autorités de planification et ne pas entraver le travail de révision de la planification existante, qui est particulièrement complexe en l'espèce, au vu de l'importance du surdimensionnement des zones à bâtir communales. Au surplus, l'intervention cantonale est expressément prévue par la loi (cf. l'art. 134 LATC qui prévoit que, dans les communes ayant un plan d'affectation et un règlement non conformes aux dispositions de la loi, ce plan et ce règlement s'appliquent avec la restriction que dans les zones à bâtir, le département peut s'opposer à la délivrance d'un permis de construire s'il s'agit d'une zone manifestement trop étendue, ne répondant pas aux critères des articles 48 et 51, et que, dans ce cas, l'Etat doit, dans les trois mois qui suivent son opposition, soumettre à l'enquête publique une zone réservée). La recourante se réfère aussi au principe de l’autonomie communale pour en déduire que, dès lors que la commune n’envisage en aucune manière le déclassement de la parcelle n° 1455, l’instauration d’une zone réservée cantonale enfreint le principe de proportionnalité. Cette approche est justifiée comme suit dans le document intitulé " Limite du redimensionnement hors-centre " établi par le Bureau d'urbanistes Repetti Sàrl pour le compte de la commune daté du 16 mai 2018: "D'autre part, la Municipalité a également considéré dans sa pesée d'intérêts les critères de la constructibilité du terrain, de sa disponibilité, ou encore de l'intérêt de sa construction afin d'évaluer ces réserves. Elle estime dès lors que les parcelles ayant fait l'objet d'un équipement récent doivent être maintenues en zone à bâtir selon les conditions du règlement actuel, même si ces dernières sont situées à la périphérie du territoire urbanisé. La Municipalité précise que les parcelles concernées par ce cas de figure seront à nouveau évaluées dans le cadre de la révision du Plan général d'affectation (PGA), en tenant compte soit de la construction de la parcelle, soit de l'abandon du projet de construction. A terme, la Municipalité propose de conserver un statut quo pour ces parcelles, dans le sens où aucune densification ou nouvelle zone à bâtir ne sont prévues pour le secteur hors-centre et où une réduction de la densité irait à l'encontre des nouvelles dispositions légales". Certes, en droit cantonal vaudois, les communes jouissent d'une autonomie maintes fois reconnue lorsqu'elles définissent, par des plans, l'affectation de leur territoire et lorsqu'elles appliquent le droit des constructions (art. 139 al. 1 let. d de la Constitution du Canton de Vaud du 14 avril 2003 [Cst./VD; BLV 101.01] et 4 al. 4 LATC; cf. notamment ATF 115 Ia 114 consid. 3d p. 118 s.; arrêts TF 1C_424/2014 du 26 mai 2015 consid. 4.1.1 et les références citées, 1C_365/2010 du 18 janvier 2011 consid. 2). Cela se justifie notamment par le fait que les autorités communales sont mieux à même d'appréhender les circonstances locales. En l'occurrence, il faut cependant souligner que la décision attaquée ne restreint pas la marge de manœuvre dont peut bénéficier la commune dans le cadre de la révision de son plan d'affectation. La commune garde la possibilité de maintenir la parcelle n° 1455 en zone à bâtir si elle redimensionne correctement par ailleurs les zones constructibles, de manière à respecter les exigences de la LAT (notamment de l'art. 15 al. 2 LAT) et du PDCn. Il n'y a dès lors pas lieu de retenir que l'instauration d'une zone réservée cantonale porte atteinte aux prérogatives communales en matière d'aménagement du territoire. Il reste à déterminer si l'emplacement de la zone réservée litigieuse est adéquat.</w:t>
      </w:r>
    </w:p>
    <w:p>
      <w:r>
        <w:rPr>
          <w:b/>
        </w:rPr>
        <w:t>E. 4</w:t>
      </w:r>
    </w:p>
    <w:p>
      <w:r>
        <w:t>Pour justifier l'instauration de la zone réservée, le SDT retient ce qui suit: "La parcelle n° 1455 est située hors du périmètre compact de l'agglomération Rivelac selon la mesure B11 du Plan directeur cantonal, dans un environnement en forte pente ponctué de prés et d'éléments boisés. Elle se trouve également en dehors du territoire urbanisé tel que défini par la fiche d'application du PDCn « Territoire urbanisé ». Selon cette fiche, le territoire urbanisé comprend les secteurs largement bâtis, y compris les terrains non bâtis à vocation urbaine, et délimite la zone à bâtir formant le coeur d'une localité. De par sa situation, la parcelle n° 1455 ne répond manifestement pas à cette définition. (…) il s'agit d'une parcelle de près d'un hectare, qui ne comprend aucune construction et qui de ce fait constitue une importante réserve de zone à bâtir d'habitation et mixte. Elle se trouve également dans un secteur actuellement libre de constructions. Vu l'importance du surdimensionnement des zones à bâtir communales, le département considère qu'il n'y a pas lieu d'écarter d'emblée la possibilité de déclasser cette parcelle dans le cadre de la révision de la planification que la Commune doit mener. De plus, le projet de zone réservée cantonale qui porte sur les parcelles n° 1455 et 1458 jouxte également les parcelles n° 1456, 1457, 2822 et 710 comprises dans le projet de zone réservée communale et se situe non loin des parcelles n° 1448 et 2813, objets d'une zone réservée cantonale approuvée ainsi que de la parcelle n° 1404, également objet d'un projet de zone réservée cantonale en cours d'approbation". Ces constatations rejoignent celles que le tribunal a pu faire sur la base des plans au dossier et de l'extrait du guichet cartographique. La parcelle se trouve dans un secteur bordé au sud d'un cordon boisé qui s'étend sur environ 350 m. Le secteur comporte également d'autres bosquets d'une certaine importante. Malgré la présence de quelques constructions isolées à proximité, le secteur dans lequel s'insère la parcelle litigieuse marque, avec les parcelles voisines, une interruption dans l'espace bâti. Le fait que la parcelle litigieuse se trouve en dehors du périmètre compact de l'agglomération Rivelac et du territoire urbanisé, dans un environnement ponctué de prés et d'éléments boisés, n'est au surplus pas contesté. Sur ce point, on peut encore relever que, selon l'extrait du guichet cartographique, la parcelle n° 1455 se situe à proximité des parcelles n os 1448 et 2813, qui ont également fait l'objet d'une zone réservée cantonale contestée devant la CDAP (cf. AC.2017.0457 du 7 janvier 2019, qui a abouti à un arrêt confirmant l'instauration d'une zone réservée cantonale à cet endroit). Dans cet arrêt, la Cour avait notamment constaté que les parcelles concernées étaient éloignée du centre des localités de Saint-Légier et de La Chiésaz et que l'urbanisation dans le secteur se caractérisait par une forte dispersion des constructions (consid. 2b). Ces constatations de fait permettent de justifier l'instauration d'une zone réservée cantonale. On l'a vu, elles ne sont d'ailleurs pas contestées en tant que telles par la recourante qui fonde son argumentation avant tout sur les investissements consentis en rapport avec l'équipement, sur l'utilisation actuelle des terrains et sur l'absence de vocation agricole de la parcelle, qui s'opposeraient au changement d'affectation de la parcelle et par conséquent à son intégration dans une zone réservée. En tenant toutefois compte de l'ensemble des éléments en présence, ces éléments ne sont pas déterminants au point de renoncer à l'instauration de la zone réservée. En effet, l'excédent de zones à bâtir sur la partie "hors centre" du territoire communal est tel qu'il permet de considérer que la parcelle concernée peut entrer en ligne de compte pour un éventuel changement d'affectation dans le cadre de la révision du plan d'affectation, ceci compte tenu notamment de la taille importante du bien-fonds en question et de sa situation. Comme l'a récemment constaté le Tribunal cantonal, le fait que l'on soit en présence d'une parcelle équipée, en partie bâtie, cas échéant hors d'une zone de danger et bien desservie par les transports publics, n'apparaît pas décisif en cas d'instauration d'une zone réservée puisqu'il s'agit de donner aux autorités de planification la marge de manoeuvre nécessaire afin de procéder à une révision en profondeur de la planification communale. On ne saurait d'emblée considérer que toutes les parcelles déjà équipées resteront en zone à bâtir. En effet, il résulte de la jurisprudence que même des parcelles équipées ou comportant déjà des constructions peuvent – ou au besoin doivent – être attribuées à une zone de non bâtir (cf. AC.2018.0208 du 18 janvier 2019, citant l'ATF 113 Ia 362 consid. 2b). De même des parcelles sans vocation agricole peuvent – ou au besoin doivent – être attribuées à une zone de non bâtir. Il convient de souligner qu'il découle de la nature de mesure provisionnelle de la zone réservée que celle-ci peut concerner des parcelles qui, à la fin du processus de planification, ne seront pas dézonées. Il n'est pas question de trancher au stade de la procédure relative à la zone réservée la question du redimensionnement définitif de la zone à bâtir, et des questions qui y sont liées. C'est ainsi prématurément que la recourante invoque l'importance des travaux et frais d'équipement qu'elle a consentis, notamment pour la rénovation du chemin de la Cheneau inférieur en 2013 ainsi que pour la création du chemin de la Cheneau supérieur en 2014 consistant en un nouvel aménagement routier avec équipement (eaux usées, eaux claires, drainage, eau potable, gaz, électricité). Les frais mentionnés par la recourante apparaissent effectivement considérables. Ils posent la question de savoir comment tenir compte de la bonne foi de ceux qui ont développé et mis à l'enquête un projet de construction avant la mise à l'enquête de la zone réservée. Ils ne sont toutefois pas déterminants s'agissant de l'établissement d'une zone réservée. Les arguments de la municipalité relatifs aux frais d'équipement engagés par la recourante entre 2013 et 2015, notamment pour l'élargissement et la réfection du chemin de la Chenau, doivent au demeurant être relativisés. On l'a vu, la municipalité savait en effet dès 2009 que le développement du secteur en question pour la construction soulevait problème au regard du surdimensionnement de la zone à bâtir. S'il était effectivement envisagé de dézoner la parcelle n° 1455 dans le cadre de la révision du plan d'affectation, la recourante pourra alors faire valoir ses griefs au cours de la procédure menée à cette occasion. C'est à ce stade que devra notamment être examiné l'argument de la municipalité selon lequel la situation de la commune s’analyse comme un cas particulier, notamment en raison du fait qu’une partie importante des réserves est constituée de parcelles récemment équipées ainsi que de petites parcelles partiellement construites situées à l’intérieur du territoire urbanisé, dont le dézonage pourrait ne pas se justifier à la lumière des principes posés par la LAT. c) La recourante estime que la décision attaquée n'est pas conforme au principe de la proportionnalité (cf. 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En l'espèce, il n'est pas contestable que l'instauration d'une zone réservée est apte à produire les résultats escomptés. On ne voit pas non plus que les objectifs visés par l'instauration d'une zone réservée puissent être atteints par un moyen moins incisif. Enfin, il convient de relever qu'une zone réservée destinée à bloquer provisoirement les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en disséminant les constructions sur un large secteur (voir AC.2017.0078 du 28 février 2018). Il existe ainsi un rapport raisonnable entre le sacrifice financier (même si celui-ci est considérable) demandé à la recourante qui voit ses projets de construction bloqués et l'intérêt public en jeu. Quant à la question de savoir si le changement d'affectation de la parcelle concernée est conforme au principe de la proportionnalité, elle ne fait pas l'objet du présent litige. Le grief relatif à la violation du principe de proportionnalité doit par conséquent être rejeté.</w:t>
      </w:r>
    </w:p>
    <w:p>
      <w:r>
        <w:rPr>
          <w:b/>
        </w:rPr>
        <w:t>E. 5</w:t>
      </w:r>
    </w:p>
    <w:p>
      <w:r>
        <w:t>Les considérants qui précèdent conduisent au rejet du recours et au maintien de la décision attaquée. Vu le sort de la cause, les frais sont mis à la charge de la recourante. Il n’est pas alloué de dépens au SDT, qui n'y a pas droit (art. 56 al. 3 LPA-VD), ni à la commune, qui a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