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AC.2018.0327 vom 5. März 2020</w:t>
      </w:r>
    </w:p>
    <w:p>
      <w:r>
        <w:t>VD Tribunal cantonal, 2020-03-05, FR</w:t>
      </w:r>
    </w:p>
    <w:p>
      <w:r>
        <w:rPr>
          <w:b/>
        </w:rPr>
        <w:t xml:space="preserve">Quelle: </w:t>
      </w:r>
      <w:r>
        <w:t>https://mcp.opencaselaw.ch/entscheid/vd_omni_AC.2018.0327</w:t>
      </w:r>
    </w:p>
    <w:p>
      <w:r>
        <w:t>FR: VD_OMNI AC.2018.0327 du 5 mars 2020</w:t>
      </w:r>
    </w:p>
    <w:p>
      <w:r>
        <w:t>IT: VD_OMNI AC.2018.0327 del 5 marzo 2020</w:t>
      </w:r>
    </w:p>
    <w:p>
      <w:pPr>
        <w:pStyle w:val="Heading2"/>
      </w:pPr>
      <w:r>
        <w:t>Regeste</w:t>
      </w:r>
    </w:p>
    <w:p>
      <w:r>
        <w:t>A.________, B.________/Conseil communal de Vully-les-Lacs, Département du territoire et de l’environnement (DTE) | Recours contre la décision du Conseil communal adoptant la zone réservée communale et contre celle du Département approuvant préalablement cette zone réservée. - Compte tenu du surdimensionnement très important de la zone à bâtir communale, la création d'une zone réservée est justifiée de manière à ne pas rendre plus difficiles, voire impossibles, de futurs déclassements ou réaffectations et à garantir le redimensionnement de la zone à bâtir dans le cadre de la révision du PGA. L'instauration d'une zone réservée communale se fonde sur une base légale suffisante et répond donc à un intérêt public prépondérant (consid. 4). - Le choix de l'emplacement de la zone réservée apparaît judicieux sous l'angle du principe de la proportionnalité. Il n'est en tout cas pas arbitraire. La garantie de la propriété n'a pas été violée (consid. 5). Recours rejeté dans la mesure où il est recevable.</w:t>
      </w:r>
    </w:p>
    <w:p>
      <w:pPr>
        <w:pStyle w:val="Heading2"/>
      </w:pPr>
      <w:r>
        <w:t>Erwägungen</w:t>
      </w:r>
    </w:p>
    <w:p>
      <w:r>
        <w:rPr>
          <w:b/>
        </w:rPr>
        <w:t>E. 1</w:t>
      </w:r>
    </w:p>
    <w:p>
      <w:r>
        <w:t>a) 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Déposé en temps utile (art. 95 LPA-VD) par B.________, ayant pris part à la procédure devant l’autorité précédente et manifestement atteinte par les décisions attaquées en tant que propriétaire de la parcelle concernée (art. 75 LPA:VD), le présent recours, qui respecte toutes les autres conditions formelles (art. 76, 77 et 79 LPA-VD, par renvoi de l'art. 99 LPA-VD), est en principe recevable. En revanche, il est douteux que son mari, A.________, qui n'est pas propriétaire de la parcelle en cause, ait qualité pour recourir. Cette question peut cependant demeurer indécise, du moment que l'un des deux recourants est légitimé à recourir et que les deux recourants ont agi conjointement et soulevé les mêmes griefs au fond qui seront examinés ci-après. Dans la mesure où les recourants concluent à la modification "du plan d'affectation en ce sens que tout ou partie de la parcelle n° 3190 ne change pas d'affectation", le recours est irrecevable. En effet, l'instauration d'une zone réservée, qui constitue une simple mesure provisoire visant à bloquer momentanément les constructions, n'a pas pour effet de changer l'affectation d'une parcelle. En tant que les recourants demandent implicitement l'annulation des décisions attaquées instituant une zone réservée, leur recours devrait être rejeté.</w:t>
      </w:r>
    </w:p>
    <w:p>
      <w:r>
        <w:rPr>
          <w:b/>
        </w:rPr>
        <w:t>E. 2</w:t>
      </w:r>
    </w:p>
    <w:p>
      <w:r>
        <w:t>Les recourants sollicitent la tenue d'une inspection locale. a) Le droit d'être entendu garanti à l'art. 29 al. 2 de la Constitution fédérale du 18 avril 1999 de la Confédération suisse (Cst.; RS 101) comprend notamment celui de faire administrer les preuves, pour autant qu'elles apparaissent utiles à l'établissement des faits pertinents (ATF 139 II 489 consid. 3.3 p. 496); il ne comprend en revanche pas le droit d'être entendu oralement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22 p. 210). b) En l'espèce, le dossier – qui contient notamment plusieurs plans et nombreuses photographies produites par les recourants eux-mêmes – est suffisamment complet pour permettre au Tribunal de céans de statuer en toute connaissance de cause. Il y a dès lors lieu de rejeter, par une appréciation anticipée des moyens de preuve, la requête de la recourante tendant à la mise en œuvre d'une inspection locale. Dans sa réplique, le recourant sollicite la tenue d'une inspection locale.</w:t>
      </w:r>
    </w:p>
    <w:p>
      <w:r>
        <w:rPr>
          <w:b/>
        </w:rPr>
        <w:t>E. 3</w:t>
      </w:r>
    </w:p>
    <w:p>
      <w:r>
        <w:t>Les recourants voient une violation de son droit d'être entendu dans le fait que les autorités communales n'auraient pas répondu, de manière suffisamment motivée, à leur opposition. La jurisprudence a déduit du droit d'être entendu de l'art. 29 al. 2 Cst. l'obligation pour l'autorité de motiver sa décision, afin que l'intéressé puisse se rendre compte de la portée de celle-ci et l'attaquer en connaissance de cause (ATF 142 I 135 consid. 2.1 p. 145; 138 I 232 consid. 5.1 p. 237; 136 V 351 consid. 4.2 p. 355).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47 et les références citées). L'autorité n'a pas l'obligation d'exposer et de discuter tous les faits, moyens de preuve et griefs invoqués par les parties, mais elle peut au contraire se limiter à ceux qui lui paraissent pertinents (ATF 142 II 154 consid. 4.2 p. 157). En l'occurrence, ce grief est manifestement mal fondé. Comme cela ressort clairement du rapport 47 OAT, du préavis municipal n° 2018/01 et des réponses aux oppositions approuvées par le Conseil communal (cf. notamment fiche n° 43), une portion de la parcelle n° 3190 a été incluse dans la zone réservée parce que, en raison de sa localisation excentrée, elle ne faisait pas partie du territoire urbanisé tel que défini par le SDT dans sa fiche "Comment délimiter le territoire urbanisé". Les recourants pouvaient ainsi se rendre compte de la portée des décisions et les attaquer en connaissance de cause, ce qu'elles ont d'ailleurs fait.</w:t>
      </w:r>
    </w:p>
    <w:p>
      <w:r>
        <w:rPr>
          <w:b/>
        </w:rPr>
        <w:t>E. 4</w:t>
      </w:r>
    </w:p>
    <w:p>
      <w:r>
        <w:t>Il sied d'examiner en premier lieu si, dans son principe, la zone réservée litigieuse s'avère bien fondée. a) aa) Les zones réservées sont régies par les dispositions suivantes : L'art. 27 de la loi fédérale du 22 juin 1919 sur l'aménagement du territoire (LAT; RS 700), intitulé "Zones réservées", a la teneur suivante: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Sous la note marginale "zone réservée", l'art. 46 LATC, dans sa teneur au moment où la décision attaquée a été rendue, prévoit ce qui suit: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L'art. 46 LATC, dans sa nouvelle teneur en vigueur dès le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bb) Selon la jurisprudence (rappelée par la Cour constitutionnelle dans l'arrêt CCST.2014.0001 du 3 juillet 2014; v. ég. AC.2017.0386 du 27 septembre 2018, AC.2017.0078 du 28 février 2018 , AC.2016.0420 du 6 juin 2017, AC.2013.421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Du point de vue temporel, la limitation à cinq ans de la durée de la zone réservée lie les cantons, qui ne peuvent prévoir par une règle générale une autre durée initiale (Ruch, op. cit., n° 55 ad art. 27). Les cantons peuvent permettre une prolongation de la durée, ce qu'a fait le droit vaudois (cf. art. 46 al. 1 LATC).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n° 57 ad art. 27; Waldmann/Hänni, op. cit., n° 22 ad art. 27). b) Pour l'instauration d'une zone réservée cantonale ou communale, l'art. 46 al. 2 LATC prévoit que la procédure est réglée au chapitre IV de la LATC, ce qui signifie que la procédure est la même que pour l'établissement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arrêt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 c) À l'appui de sa décision d'instaurer une zone réservée communale, les autorités intimées invoquent en particulier le surdimensionnement de la zone à bâtir communale. aa)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notamment: d'orienter le développement de l'urbanisation vers l'intérieur du milieu bâti, en maintenant une qualité de l'habitat appropriée (let. a bis); de créer un milieu bâti compact (let. b). L'art. 3 LAT prescrit les principes d'aménagement, parmi lesquels il convient notamment de préserver le paysage (art. 3 al. 2) et d'aménager les territoires réservés à l'habitat et à l'exercice d'activités économiques selon les besoins de la population tout en limitant leur étendue (art. 3 al. 3 LAT). L’art. 15 LAT, dans sa teneur en vigueur depuis le 1 er mai 2014, dispose ce qui suit: "Art. 15  Zones à bâtir 1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1er août 2008, le PDCn a fait l'objet de plusieurs adaptations. Une quatrième adaptation a été adoptée par le Grand Conseil les 20 et 21 juin 2017 pour être approuvée par le Conseil fédéral le 31 janvier 2018. A cet égard, on relèvera que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 Il convient de souligner que, pour mettre en oeuvre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Pour sa part, la 4 ème adaptation du PDCn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d) En l'espèce , il n'est pas contesté que les zones à bâtir pour l'habitation et mixtes de la commune de Vully-les-Lacs, qui constitue un village hors centre, sont manifestement surdimensionnées et qu'elles doivent en conséquence être réduites. Selon le guichet cantonal de simulation des réserves de la zone à bâtir (d'habitation et mixtes), le potentiel de croissance autorisé est de 335 habitants à l'horizon 2036. Or la capacité d'accueil de la commune est de 3'611 habitants, si bien que la commune présente une surcapacité d'accueil de 3'276 habitants (3'611 – 335 habitants). Il est donc admis que la commune est tenue de modifier son plan général d'affectation (PGA) afin de répondre aux exigences du nouvel art. 15 LAT entré en vigueur le 1er mai 2014, démarche qui devrait notamment se concrétiser par une réduction des zones à bâtir. C'est manifestement à tort que les recourants se plaignent d'une violation de l'art. 15 LAT. Compte tenu du surdimensionnement très important de la zone à bâtir communale, il faut ainsi constater que la création d'une zone réservée est justifiée de manière à ne pas rendre plus difficiles, voire impossibles, de futurs déclassements ou réaffectations et à garantir le redimensionnement de la zone à bâtir dans le cadre de la révision du PGA. Contrairement à l'avis des recourants, l'instauration d'une zone réservée communale se fonde ici sur une base légale suffisante (art. 27 LAT et 46 LATC) et répond donc à un intérêt public prépondérant. Les recourants laissent entendre que "le déclassement d'une partie de la parcelle n° 3190 en zone réservée" serait contraire à l'art. 21 al. 2 LAT, vu l'absence de "circonstances nouvelles justifiant la mise en zone réservée". On ne comprend pas très bien cette argumentation, étant précisé que l'art. 21 al. 2 LAT, visant les plans d'affectation qui règlent le mode d'utilisation du sol, n'est pas applicable à la zone réservée, dont les conditions d'instauration sont régies exclusivement par l'art. 27 LAT sur le plan fédéral. La jurisprudence relative à l'art. 21 al. 2 LAT (voir notamment ATF 140 II 25) citée par les recourants ne leur est d'aucun secours. Cet arrêt a été rendu dans un autre contexte juridique; il s'agissait de déterminer si un contrôle incident ou préjudiciel d'un plan d'affectation communal pouvait – exceptionnellement – se justifier dans le cadre d'une procédure d'autorisation de construire (acte d'application).</w:t>
      </w:r>
    </w:p>
    <w:p>
      <w:r>
        <w:rPr>
          <w:b/>
        </w:rPr>
        <w:t>E. 5</w:t>
      </w:r>
    </w:p>
    <w:p>
      <w:r>
        <w:t>a) Il reste à examiner si le choix de l'emplacement de la zone réservée en question est adéquat du point de vue du principe de la proportionnalité. Les recourants font valoir que la parcelle n° 3190 se trouverait dans un "milieu bâti harmonieux", soit dans un "centre urbain" appelé à être densifié, d'autant qu'une partie de la parcelle n° 3190 (actuellement n°10055) avait été mise au bénéfice en 2017 d'une autorisation de construire deux villas mitoyennes de quatre logements. Pour les recourants, la portion de la parcelle n° 3190 qui a fait l'objet d'une zone réservée resterait un terrain vide au bord de la route "entouré par des villas individuelles". Cette zone réservée de la parcelle n° 3190 serait petite (571 m 2 ) et en forte pente (36 %), si bien que celle-ci ne se prêterait pas à l'agriculture. Les recourants en déduisent que leur parcelle, non bâtie, formerait une sorte de brèche dans le bâti existant ("Baulücke") et qu'elle devrait être considérée comme ne faisant partie du territoire urbanisé. Or, il existe des motifs légitimes et objectifs d'instaurer une zone réservée sur une portion de la parcelle n° 3190. Celle-ci, libre de toute construction, n'est pas située au coeur d'une zone d'habitation, soit en zone de centre de localité, quoi qu'en disent les recourants. Comme cela ressort très clairement du plan de la zone réservée et du guichet cartographique cantonal (www.geo.vd.ch), la parcelle n° 3190 se trouve, du côté nord, en continuité d'une vaste zone viticole. La parcelle n° 3190, qui n'a aucune vocation urbaine, n'est pas entourée de villas et ne se trouve pas dans le centre du village historique de Constantine, mais dans un secteur où les constructions sont dispersées, soit dans une zone d'habitation de très faible densité. Comme le soulignent à juste titre les autorités communale et cantonale, la parcelle n° 3190 est située à l'extérieur du territoire urbanisé, selon les critères définis par la Fiche d'application du SDT "Comment délimiter le territoire urbanisé"). Par territoire urbanisé, il faut entendre un tissu urbain largement bâti, ce qui n'est manifestement pas le cas en l'espèce. La parcelle concernée est située dans un quartier certes prévu pour des villas individuelles, mais qui n'est que partiellement réalisé et qui offre l'aspect d'un tissu urbain relativement lâche, comme le relève pertinemment le SDT. A noter en passant que même si la parcelle n° 3190 pouvait être considérée comme une "brèche dans la continuité du tissu urbain" au sens de l'art. 15a LAT (ATF 121 II 417 consid. 5a) compte tenu des villas mitoyennes en cours de construction sur la parcelle contigüe n° 10055, son inclusion dans la zone réservée se justifierait néanmoins. En effet, dans le cadre de l'élaboration de son nouveau PGA, l'autorité de planification ne doit pas uniquement prendre en considération le critère relatif aux terrains propres à la construction déjà largement bâtis et aux brèches dans la continuité du tissu bâti. La commune devra aussi tenir compte des buts et principes de l'aménagement du territoire résultant notamment des art. 1 et 3 LAT (protéger les bases naturelles de la vie telles que le sol; garantir les sources d'approvisionnement suffisantes dans le pays, réserver suffisamment de terres cultivables à l'agriculture etc.). Quoi qu'il en soit, le fait que la parcelle en question soit équipée et qu'elle ne se prêterait pas à l'agriculture n'est pas déterminant, puisqu'il s'agit ici de donner aux autorités de planification la marge de manoeuvre nécessaire afin de procéder à une révision en profondeur du PGA. On ne saurait considérer d'emblée que la parcelle des recourants restera entièrement ou partiellement en zone à bâtir. En effet, même les parcelles équipées, voire comportant déjà des constructions, peuvent – ou au besoin doivent – être attribuées à une zone de non bâtir (cf. ATF 113 Ia 362 consid. 2b). En l'espèce, Il n'y a aucun motif sérieux d'interférer dans le processus de planification locale, pour lequel les autorités communales bénéficient d'un large pouvoir d'appréciation b) Les recourants se plaignent d'une violation du principe de l'égalité. Il convient toutefois de souligner qu'il résulte de la nature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C'est ainsi prématurément que les recourants se prévalent du principe de l'égalité de traitement par rapport notamment aux propriétaires voisins dont les parcelles sont déjà bâties, voire au bénéfice d'un permis de construire délivré avant le 31 mai 2017, date de la mise à l'enquête de la zone réservée. Quoi qu'il en soit, les recourants n'expliquent pas concrètement en quoi la situation des autres parcelles citées dans l'acte de recours, dont certaines sont situées à l'intérieur du territoire urbanisé, serait comparable avec celle de la parcelle n° 3190, notamment en ce qui concerne leur localisation, leur équipement et leur environnement naturel. Cela dit, la cour peine à comprendre pourquoi la zone réservée n'a pas été étendue à l'entier de la parcelle n° 3190 (2'071 m2), mais seulement  à une fraction de celle-ci (moins de 600 m2). c) Tout bien considéré, le choix de l'emplacement de la zone réservée apparaît judicieux sous l'angle du principe de la proportionnalité. Il n'est en tout cas pas arbitraire. La mesure instaurée rendant une partie de la parcelle n° 3190 provisoirement inconstructible paraît ainsi apte et nécessaire à préserver la marge de manœuvre des autorités communales dans le cadre de la révision du PGA. Comme le relève du reste le SDT, la portion de la parcelle n° 3190 fait l'objet d'une zone réservée et non d'un changement d'affectation. Cette mesure conservatoire a pour but d'étudier de manière détaillée si un dézonage est nécessaire en tout ou partie en vue de la révision de la planification communale; cela ne préjuge pas de l'affectation définitive de cette parcelle, quoi qu'en disent les recourants. d) En résumé, la garantie de la propriété (art. 26 al. 1 Cst.) n'a pas été violée. L'atteinte au droit de propriété des recourants est ici d'autant moins importante qu'ils ont déjà pu bénéficier d'un potentiel constructif de leurs terrains (construction de deux villas mitoyennes sur une partie de la parcelle 3190 devenue la parcelle n° 10055) et que seule une portion de la parcelle n° 3190 (moins de 600 m 2 ) a été mise en zone réservée, le solde demeurant constructible (2'071 – 600).</w:t>
      </w:r>
    </w:p>
    <w:p>
      <w:r>
        <w:rPr>
          <w:b/>
        </w:rPr>
        <w:t>E. 6</w:t>
      </w:r>
    </w:p>
    <w:p>
      <w:r>
        <w:t>Mal fondé, le recours doit être rejeté dans la mesure où il est recevable, ce qui entraîne la confirmation des décisions attaquées. Succombant, les recourants supporteront un émolument judiciaire (art. 49 LPA-VD), ainsi qu'une indemnité à titre de dépens à allouer à la commune,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