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AC.2018.0250 vom 30. April 2020</w:t>
      </w:r>
    </w:p>
    <w:p>
      <w:r>
        <w:t>VD Tribunal cantonal, 2020-04-30, FR</w:t>
      </w:r>
    </w:p>
    <w:p>
      <w:r>
        <w:rPr>
          <w:b/>
        </w:rPr>
        <w:t xml:space="preserve">Quelle: </w:t>
      </w:r>
      <w:r>
        <w:t>https://mcp.opencaselaw.ch/entscheid/vd_omni_AC.2018.0250</w:t>
      </w:r>
    </w:p>
    <w:p>
      <w:r>
        <w:t>FR: VD_OMNI AC.2018.0250 du 30 avril 2020</w:t>
      </w:r>
    </w:p>
    <w:p>
      <w:r>
        <w:t>IT: VD_OMNI AC.2018.0250 del 30 aprile 2020</w:t>
      </w:r>
    </w:p>
    <w:p>
      <w:pPr>
        <w:pStyle w:val="Heading2"/>
      </w:pPr>
      <w:r>
        <w:t>Regeste</w:t>
      </w:r>
    </w:p>
    <w:p>
      <w:r>
        <w:t>A.________, B.________/Municipalité de Concise, C.________, Service du développement territorial, Direction générale de l'environnement DGE-DIREV, DYENS, Office fédéral du développement territorial ARE | Projet de construction d'un complexe artisanal et de bureaux en zone industrielle. Recours des opposants admis par le TF et renvoi au TC pour procéder à un contrôle incident de la planification (art. 21 al. 2 LAT). La parcelle litigieuse est sise dans une zone industrielle composée de deux parcelles, à l'extérieur du village et entourée d'une zone agricole. Cette zone est inventoriée dans l'ISOS. La parcelle litigieuse n'est pas construite depuis plus de 30 ans. Examen du besoin régional en zones d'activités, conformément à l'art. 30a OAT. Absence au dossier d'éléments permettant de déterminer un tel besoin. Il apparaît douteux que la planification actuelle d'une zone industrielle à cet endroit soit encore adaptée, compte tenu de l'incertitude quant aux besoins effectifs d'une telle zone dans la région (art. 15 al. 3 LAT), de l'atteinte au principe de la séparation du territoire constructible et non constructible, de l'atteinte paysagère (art. 1 et 3 LAT) et de l'intérêt à réserver à l'agriculture suffisamment de bonnes terres (art. 3 al. 2 let. a LAT). Admission du recours et annulation du permis de construire. Recours au TF rejeté par arrêt 1C_296/2020 du 8 juillet 2021.</w:t>
      </w:r>
    </w:p>
    <w:p>
      <w:pPr>
        <w:pStyle w:val="Heading2"/>
      </w:pPr>
      <w:r>
        <w:t>Erwägungen</w:t>
      </w:r>
    </w:p>
    <w:p>
      <w:r>
        <w:rPr>
          <w:b/>
        </w:rPr>
        <w:t>E. 1</w:t>
      </w:r>
    </w:p>
    <w:p>
      <w:r>
        <w:t>Conformément à l’arrêt de renvoi du Tribunal fédéral, il convient, dans le cadre d’un contrôle incident de la planification communale au sens de l’art. 21 al. 2 de la loi fédérale du 22 juin 1979 sur l’aménagement du territoire (LAT ; RS 700), de procéder à une pesée des intérêts au sens de cette disposition et déterminer si le permis de construire litigieux doit ou non être confirmé. a) Aux termes de l’art. 21 LAT, alinéa premier, les plans d’affectation ont force obligatoire pour chacun. L’art. 21 al. 2 LAT prévoit que lorsque les circonstances se sont sensiblement modifiées, les plans d’affectation feront l’objet des adaptations nécessaires. Conformément à la jurisprudence du Tribunal fédéral rappelée ci-dessus (cf. ATF 144 II 41; 1C_308/2017 précité consid. 3.1 et les références), l’art. 21 al. 2 LAT prévoit un examen en deux étapes: la première déterminera si les circonstances se sont sensiblement modifiées au point de justifier un réexamen du plan: si le besoin s’en fait réellement sentir, il sera adapté, dans une deuxième étape. En l’occurrence, le Tribunal fédéral a admis que les circonstances s’étaient sensiblement modifiées depuis l’adoption du PAZ de 1980 et étaient susceptibles de justifier une modification de la planification. Il convient ainsi de procéder à une analyse préjudicielle de la conformité du plan avec la situation actuelle (deuxième étape de l’examen au sens de l’art. 21 al.</w:t>
      </w:r>
    </w:p>
    <w:p>
      <w:r>
        <w:rPr>
          <w:b/>
        </w:rPr>
        <w:t>E. 2</w:t>
      </w:r>
    </w:p>
    <w:p>
      <w:r>
        <w:t>Le paysage doit être préservé. Il convient notamment: a. de réserver à l’agriculture suffisamment de bonnes terres cultivables, en particulier, les surfaces d’assolement; b. de veiller à ce que les constructions prises isolément ou dans leur ensemble ainsi que les installations s’intègrent dans le paysage; c. de tenir libres les bords des lacs et des cours d’eau et de faciliter au public l’accès aux rives et le passage le long de celles-ci; d. de conserver les sites naturels et les territoires servant au délassement; e. de maintenir la forêt dans ses diverses fonctions.</w:t>
      </w:r>
    </w:p>
    <w:p>
      <w:r>
        <w:rPr>
          <w:b/>
        </w:rPr>
        <w:t>E. 3</w:t>
      </w:r>
    </w:p>
    <w:p>
      <w:r>
        <w:t>Les territoires réservés à l’habitat et à l’exercice des activités économiques seront aménagés selon les besoins de la population et leur étendue limitée. Il convient notamment: a. de répartir judicieusement les lieux d’habitation et les lieux de travail et de les planifier en priorité sur des sites desservis de manière appropriée par les transports publics; a bis . de prendre les mesures propres à assurer une meilleure utilisation dans les zones à bâtir des friches, des surfaces sous-utilisées ou des possibilités de densification des surfaces de l’habitat; b. de préserver autant que possible les lieux d’habitation des atteintes nuisibles ou incommodantes, telles que la pollution de l’air, le bruit et les trépidations; c. de maintenir ou de créer des voies cyclables et des chemins pour piétons; d. d’assurer les conditions dont dépend un approvisionnement suffisant en biens et services; e. de ménager dans le milieu bâti de nombreux aires de verdure et espaces plantés d’arbres.</w:t>
      </w:r>
    </w:p>
    <w:p>
      <w:r>
        <w:rPr>
          <w:b/>
        </w:rPr>
        <w:t>E. 4</w:t>
      </w:r>
    </w:p>
    <w:p>
      <w:r>
        <w:t>Il résulte des considérants qui précèdent que le recours doit être admis et la décision attaquée annulée. Succombant, les constructeurs supporteront l’émolument de justice (art. 49 LPA-VD; art. 4 du tarif du 28 avril 2015 des frais judiciaires et des dépens en matière administrative: TFJDA; BLV 173.36.5.1) et n’ont pas droit à des dépens (art. 55 LPA-VD). Succombant également, la Municipalité n’a pas droit à des dépens (art. 55 LPA-VD). Les constructeurs verseront aux recourants qui obtiennent gain de cause une indemnité à titre de dépens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