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AC.2018.0244 vom 13. Juni 2019</w:t>
      </w:r>
    </w:p>
    <w:p>
      <w:r>
        <w:t>VD Tribunal cantonal, 2019-06-13, FR</w:t>
      </w:r>
    </w:p>
    <w:p>
      <w:r>
        <w:rPr>
          <w:b/>
        </w:rPr>
        <w:t xml:space="preserve">Quelle: </w:t>
      </w:r>
      <w:r>
        <w:t>https://mcp.opencaselaw.ch/entscheid/vd_omni_AC.2018.0244</w:t>
      </w:r>
    </w:p>
    <w:p>
      <w:r>
        <w:t>FR: VD_OMNI AC.2018.0244 du 13 juin 2019</w:t>
      </w:r>
    </w:p>
    <w:p>
      <w:r>
        <w:t>IT: VD_OMNI AC.2018.0244 del 13 giugno 2019</w:t>
      </w:r>
    </w:p>
    <w:p>
      <w:pPr>
        <w:pStyle w:val="Heading2"/>
      </w:pPr>
      <w:r>
        <w:t>Regeste</w:t>
      </w:r>
    </w:p>
    <w:p>
      <w:r>
        <w:t>A.________, B.________, C..________, D.________, E.________, F.________/Municipalité de Begnins, G.________, H.________ | Recours de voisins contre l'autorisation portant sur l'extension d'un bâtiment existant situé sur une parcelle dont le terrain présente une forte pente. La façade aval de l'élément nouveau ("galette") qu'il est prévu de raccorder au sous-sol existant présentera un décalage de 5 m par rapport à la façade aval du bâtiment actuel, de sorte qu'on se trouvera visuellement en présence de 2 constructions distinctes qui se succéderont dans la pente du terrain. Partant, en considérant que, conformément à une pratique apparemment constante, la hauteur à la corniche doit être mesurée au droit de la façade aval du bâtiment existant - et non pas 5 m plus loin au pied de la façade aval du nouvel élément constructif comme le soutiennent les recourants -, si bien que la hauteur maximale à la corniche est respectée, la municipalité n'a pas abusé de sa latitude de jugement dans l'interprétation de son règlement. Les recourants ne sauraient en outre s'opposer à la délivrance du permis de construire en invoquant l'impact du projet sur la vue dont ils bénéficient actuellement ou la garantie de la propriété, le projet étant conforme au règlement communal. Leur moyen tiré du non respect d'une servitude de droit privé est par ailleurs irrecevable. L'autorité intimée n'avait enfin pas à entendre préalablement les opposants lors d'une séance, ni à mettre ces derniers en contact avec les constructeurs. Recours rejeté. Recours au TF rejeté (1C_413/2019 du 24 mars 2020).</w:t>
      </w:r>
    </w:p>
    <w:p>
      <w:pPr>
        <w:pStyle w:val="Heading2"/>
      </w:pPr>
      <w:r>
        <w:t>Erwägungen</w:t>
      </w:r>
    </w:p>
    <w:p>
      <w:r>
        <w:rPr>
          <w:b/>
        </w:rPr>
        <w:t>E. 1</w:t>
      </w:r>
    </w:p>
    <w:p>
      <w:r>
        <w:t>Les constructeurs font valoir que les biens-fonds appartenant à A.________, B.________, D.________ et E.________ sont trop éloignés de la parcelle litigieuse, ce qui devrait conduire à leur dénier la qualité pour recourir. a) La qualité pour recourir est définie à l'art. 75 de la loi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AC.2018.0073 du 27 mars 2018 consid. 1a).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TF 1C_609/2017 du 4 décembre 2018 consid. 2.1.1).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TF 1C_493/2017 du 29 octobre 2018 consid. 3.1; AC.2018.0412 du 27 novembre 2018 consid. 3a/aa) En matière de droit des constructions, le voisin direct de la construction ou de l'installation litigieuse a en principe la qualité pour recourir (ATF 139 II 499 consid. 2.2 p. 504; TF 1C_382/2017 du 16 mai 2018 consid. 1.2.1). La proximité avec l'objet du litige ne suffit néanmoins pas à elle seule à conférer au voisin la qualité pour recourir.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1C_170/2018 du 10 juillet 2018 consid. 4.1).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ATF 137 II 30 consid. 2.2; AC.2017.0060 du 23 mai 2018 consid. 1a). b) En l'espèce, les recourants ont invoqué des dispositions de droit des constructions relatives notamment à la hauteur des bâtiments projetés. Un tel grief fonde la qualité pour recourir à tout le moins de la recourante F.________ (propriétaire de la parcelle n° 273 contiguë à celle sur laquelle est envisagé le projet litigieux et qui a pris part à la procédure précédente par le dépôt d'une opposition), car il a un effet direct sur l'usage de son immeuble (cf. TF 1C_2/2010 du 23 mars 2010 consid. 5). La question de la qualité pour agir des autres recourants peut partant demeurer indécise (AC.2017.0298, AC.2017.0300 du 10 décembre 2018 consid. 1). Interjeté en temps utile, le recours satisfait par ailleurs aux autres conditions formelles de recevabilité (art. 79, 92, 95 et 99 LPA-VD), de sorte qu'il y a lieu d'entrer en matière sur le fond.</w:t>
      </w:r>
    </w:p>
    <w:p>
      <w:r>
        <w:rPr>
          <w:b/>
        </w:rPr>
        <w:t>E. 2</w:t>
      </w:r>
    </w:p>
    <w:p>
      <w:r>
        <w:t>Les recourants invoquent une violation de leur droit d'être entendus, en ce sens que la décision attaquée serait insuffisamment motivée. a) Tel que garanti par l'art. 29 al. 2 de la Constitution fédérale de la Confédération suisse du 18 avril 1999 (Cst.; RS 101), le droit d'être entendu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dans ses décisions relatives à la levée des oppositions, l'autorité intimée a, pour l'essentiel, pris soin de se prononcer sur tous les griefs soulevés par les opposants. Les réponses, même les plus succinctes, permettaient aux intéressés de comprendre le raisonnement suivi par la municipalité et de saisir les principaux motifs l'ayant menée à autoriser le projet litigieux. Les recourants étaient ainsi en mesure de contester les décisions attaquées en connaissance de cause, ce qu'ils ont d'ailleurs fait. La motivation des décisions attaquées apparaît ainsi suffisante au regard des exigences déduites du droit d'être entendu, ce qui conduit au rejet du grief formulé. Dans leurs critiques, les recourants s'en prennent en réalité à l'appréciation faite par l'autorité intimée. Or, le fait de savoir si, sur le fond, les décisions sont conformes au droit sera analysé ci-après.</w:t>
      </w:r>
    </w:p>
    <w:p>
      <w:r>
        <w:rPr>
          <w:b/>
        </w:rPr>
        <w:t>E. 3</w:t>
      </w:r>
    </w:p>
    <w:p>
      <w:r>
        <w:t>Les recourants se plaignent d'une violation de l'art. 3.9 RPGA, qui concerne la hauteur à la corniche. a) Selon l'art. 3.9 RPGA, la hauteur maximale à la corniche dans la zone d'habitation I est de 6 m. L'art. 12.18 RPGA, disposition applicable à toutes les zones, définit la manière de mesurer la hauteur des bâtiments comme suit: " La hauteur d'un bâtiment à la corniche ou au faîte est mesurée sur la façade avale, à partir du terrain de référence ou aménagé en déblai au droit de cette façade, au point le plus défavorable, compte non tenu d'accès au sous-sol de largeur limitée au strict minimum. " Le terrain de référence équivaut au terrain naturel; s'il ne peut être déterminé en raison de déblais et de remblais antérieurs, la référence est le terrain naturel environnant (art. 12.12 RPGA). b) aa) Le projet litigieux consiste en particulier à prolonger le sous-sol du bâtiment actuel. La façade de l'élément nouveau ("galette") qu'il est prévu de raccorder à l'existant présentera, au Sud, un décrochement de près de</w:t>
      </w:r>
    </w:p>
    <w:p>
      <w:r>
        <w:rPr>
          <w:b/>
        </w:rPr>
        <w:t>E. 3.9</w:t>
      </w:r>
    </w:p>
    <w:p>
      <w:r>
        <w:t>RPGA, comme l'a à juste titre retenu l'autorité intimée. Le grief formulé sur ce point doit ainsi être écarté. On relèvera au demeurant que le nouvel élément créé en prolongement du sous-sol du bâtiment existant, non visible depuis la propriété de la recourante F.________ (comme elle l'a concédé lors de l'audience), n'occasionnera aucune gêne à cette dernière. c) En relation avec leur grief relatif à la hauteur à la corniche, les recourants ont encore fait valoir lors de l'audience un nouveau moyen consistant à soutenir que les mouvements de terre seraient trop importants. En l'occurrence, les mouvements de terre induits par le projet n'ont aucun impact en ce qui concerne la hauteur du projet. Partant, ce grief n'a pas à être examiné plus avant. Tout au plus peut-on relever une pratique constante mentionnée par la municipalité lors de l'audience consistant à admettre  des mouvements de terre en déblai supérieurs aux 1 m autorisés par le règlement communal (cf. art. 12.19 RPGA). Vu la manière dont le grief relatif aux mouvements de terre a été formulé par les recourants, la question de savoir si cette pratique est admissible et celle de savoir si les constructeurs pourraient cas échéant se prévaloir de l'égalité dans l'illégalité souffrent de demeurer indécises. 4. Les recourants font valoir que l'agrandissement de l'habitation, ainsi que l'extension de la toiture projetés auront pour effet d'obstruer la vue dont bénéficie aujourd'hui la recourante F.________, propriétaire d'un bien-fonds situé en amont de la parcelle litigieuse. a)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(AC.2015.0049 du 22 novembre 2016 consid. 5). En d’autres termes, le droit à la vue n’est pas protégé en droit public, si ce n’est indirectement au travers des règles de police des constructions fixant la distance à respecter entre bâtiments et limites de propriété voisine, ainsi que la hauteur des constructions ( AC.2017.0226, AC.2017.0229 précité consid. 7c; AC.2016.0126 du 13 avril 2017 consid. 5e ),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(AC.2016.0349 du 14 décembre 2017 consid. 5b; AC.2016.0126 du 13 avril 2017 consid. 5e; AC.2015.0070 du 20 juillet 2015 consid. 6). b) En l'espèce, on a vu que le projet d'extension litigieux respecte les exigences du règlement communal relatives à la hauteur (cf. supra consid. 3b/cc). Partant, les recourants ne sauraient invoquer l'impact dudit projet sur la vue pour s'opposer à la délivrance du permis de construire. Leur grief doit être rejeté.</w:t>
      </w:r>
    </w:p>
    <w:p>
      <w:r>
        <w:rPr>
          <w:b/>
        </w:rPr>
        <w:t>E. 5</w:t>
      </w:r>
    </w:p>
    <w:p>
      <w:r>
        <w:t>Les recourants se prévalent d'une servitude inscrite au profit de la parcelle n° 273, à charge de la parcelle n° 272, limitant la hauteur des constructions pouvant être érigées sur le fonds servant. De l'avis des recourants, il revenait à l'autorité intimée de vérifier le respect de cette servitude dans le cadre de l'examen du projet litigieux. a) Selon la jurisprudence, les questions relatives au respect des servitudes de droit privé relèvent en principe de la compétence du juge civil et il n'appartient ainsi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(AC.2017.0257 du 29 janvier 2018 consid. 4a; AC.2016.0027 du 10 mars 2017 consid. 7a). Les moyens tirés du non-respect du droit privé sont ainsi irrecevables devant la juridiction administrative (cf. AC.2016.0102 du 3 juin 2016 consid. 2b; AC.2013.0483 du 20 mars 2015 consid. 6). La CDAP a néanmoins jugé que l'examen du respect d'une servitude est justifié lorsque la solution est déterminante pour juger de la conformité du projet litigieux avec la réglementation communale (AC.2012.0346 du 28 août 2013 consid. 7c; il s'agissait dans cette affaire de savoir si le propriétaire voisin avait valablement donné son accord à la création de l'ordre contigu). b) En l'occurrence, un examen préjudiciel par l'autorité intimée du respect de la servitude en question ne se justifiait pas, cette problématique n'étant ici pas déterminante pour juger de la conformité de la construction litigieuse avec la réglementation communale. Il n'y a donc pas lieu de traiter plus avant les arguments invoqués en lien avec cette servitude, irrecevables dans le cadre de la présente procédure de droit public.</w:t>
      </w:r>
    </w:p>
    <w:p>
      <w:r>
        <w:rPr>
          <w:b/>
        </w:rPr>
        <w:t>E. 6</w:t>
      </w:r>
    </w:p>
    <w:p>
      <w:r>
        <w:t>a) Les recourants font grief à l'autorité intimée de ne pas avoir donné suite à la requête formulée dans leur opposition tendant à ce qu'ils puissent s'entretenir personnellement avec les constructeurs et l'architecte en vue de trouver " une solution concertée pouvant contenter tout le monde ". Ils déplorent le fait de ne pas avoir été " associés au processus décisionnel et à la réflexion sur le projet afin de limiter l'atteinte portée à leurs droits ". Leur souhait était sur ce point de soumettre une proposition aux constructeurs tendant à modifier les pans de la toiture, aux fins de préserver la vue dont la propriétaire de la parcelle n° 273 jouit actuellement. b) Contrairement à ce qui est prévu pour les plans d'affectation (cf. art. 58 al. 1 de la loi du 4 décembre 1985 sur l'aménagement du territoire et les constructions [LATC; BLV 700.11], tel qu'en vigueur au moment où les décisions attaquées ont été rendues), la procédure en matière de permis de construire ne comprend pas la faculté pour les opposants de demander à être entendus par la municipalité lors d'une séance de conciliation. L'absence de mise sur pied d'une séance avec les opposants par la municipalité ne constitue dès lors pas une informalité susceptible de mettre en cause la délivrance du permis de construire (AC.2016.0052 du 27 juillet 2016 consid. 1b). A cela s'ajoute que, comme le rappelle régulièrement la jurisprudence, le permis de construire est une autorisation de police qui doit être délivrée lorsque les conditions formelles et matérielles posées par le droit public sont réunies (AC.2017.0335 du 12 avril 2018 consid. 5a; AC.2016.0102 précité consid. 2b; AC.2013.0303 du 28 mai 2014 consid. 1a; AC.2006.0011 du 18 août 2006 consid. 7). Il n'appartient dès lors pas à l'autorité municipale, ni aux opposants d'élaborer des variantes destinées à s'imposer aux constructeurs (AC.2006.0195 du 26 février 2007 consid. 2b; AC.2000.0195 du 16 février 2001 consid. 1c). Il suit de ce qui précède qu'après s'être assurée, comme l'y enjoint l'art. 104 al. 1 LATC, que le projet litigieux était réglementaire, l'autorité municipale pouvait délivrer le permis de construire, sans entendre préalablement les opposants lors d'une séance (en quelque sorte à titre de médiatrice), ni mettre ces derniers en contact avec les constructeurs, démarche que les opposants auraient aisément pu entreprendre de leur propre chef, durant le délai d'opposition ou ultérieurement jusqu'au prononcé des décisions litigieuses, ce qu'ils n'ont pas fait. Les critiques formulées par les recourants, qui se plaignent d'une violation des principes de la bonne foi, de l'interdiction de l'arbitraire et du droit d'être entendu, tombent ainsi à faux.</w:t>
      </w:r>
    </w:p>
    <w:p>
      <w:r>
        <w:rPr>
          <w:b/>
        </w:rPr>
        <w:t>E. 7</w:t>
      </w:r>
    </w:p>
    <w:p>
      <w:r>
        <w:t>Les recourants font valoir que le projet n'indique pas les places visiteurs. a) aa) L'art. 12.49 RPGA prévoit que la Municipalité fixe le nombre de places privées de stationnement ou de garages pour voitures qui doivent être aménagés par les propriétaires à leurs frais et sur fonds privés. Elle détermine ce nombre selon les normes de l'Union Suisse des Professionnels de la Route, en fonction de l'importance et de la destination des nouvelles constructions. bb) La norme à laquelle renvoie l'art. 12.49 RPGA est la norme VSS SN 640 281 qui concerne l'offre en cases de stationnement pour les voitures de tourisme. Selon cette dernière norme, il est recommandé d'offrir une case de stationnement par 100 m 2 de surface brute de plancher ou une case par logement.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(AC.2016.0226 du 15 décembre 2016 consid. 5a/bb; AC.2015.0338 du 18 août 2016 consid. 1d). b) Le projet consiste en l'espèce à agrandir un bâtiment destiné à accueillir un seul logement, dont la surface brute de plancher utile sera augmentée à 459 m 2 . Il est vrai que sur le formulaire de demande de permis de construire (cf. rubrique F), seules deux places de stationnement sont annoncées après travaux (l'une intérieure, l'autre extérieure), alors qu'il pourrait par principe en être exigé six (4,59 + 10%, chiffre arrondi à l'entier supérieur). L'architecte du projet a cependant produit par la suite devant l'autorité intimée, à la demande celle-ci, un plan complémentaire daté du 29 mars dont il ressort que six véhicules peuvent stationner sur la parcelle n° 272 (cf. pièce n° 20 du bordereau des pièces produites par l'autorité intimée). Or, ce plan de stationnement a été annexé à la décision du 12 juin 2018 notifiée au groupe d'opposants – qui ne prétendent pas devant le tribunal de céans ne pas l'avoir reçu –, si bien que le grief relatif à l'absence d'indication des places de stationnement sur les plans doit être écarté.</w:t>
      </w:r>
    </w:p>
    <w:p>
      <w:r>
        <w:rPr>
          <w:b/>
        </w:rPr>
        <w:t>E. 8</w:t>
      </w:r>
    </w:p>
    <w:p>
      <w:r>
        <w:t>Les recourants soutiennent que les décisions litigieuses portent atteinte à la garantie de la propriété (art. 26 Cst.). En lien avec ce grief et en se fondant sur l'art. 36 Cst., ils invoquent une violation des principes de la légalité, de l'intérêt public et de la proportionnalité. Comme rappelé plus haut (cf. consid. 6b), le permis de construire est une autorisation de police qui doit être délivrée lorsque les conditions formelles et matérielles posées par le droit public sont réunies. Dès lors que tel est en l'espèce le cas, le projet litigieux étant notamment conforme au RPGA, les recourants ne sauraient faire échec à l'octroi de l'autorisation requise en invoquant la garantie de la propriété, ainsi que les principes de la légalité, de l'intérêt public et de la proportionnalité. Leurs griefs formulés sur ce point ne sont par conséquent pas fondés.</w:t>
      </w:r>
    </w:p>
    <w:p>
      <w:r>
        <w:rPr>
          <w:b/>
        </w:rPr>
        <w:t>E. 9</w:t>
      </w:r>
    </w:p>
    <w:p>
      <w:r>
        <w:t>Il résulte des considérants qui précèdent que le recours doit être rejeté et les décisions entreprises confirmées. Succombant, les recourants supporteront les frais de la cause et n'ont pas droit à des dépens. Ils verseront en outre des dépens aux constructeurs qui ont procédé par l'intermédiaire d'un mandataire professionnel. Ils verseront également des dépens réduits à la Commune de Begnins, qui était assistée d'un mandataire professionnel à l'audience (cf. p.-v. d'audience)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